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9D06C" w14:textId="6CA49E1F" w:rsidR="007F1254" w:rsidRDefault="00203194" w:rsidP="00203194">
      <w:pPr>
        <w:pStyle w:val="Heading1"/>
        <w:spacing w:before="51"/>
        <w:ind w:left="0" w:right="2629"/>
        <w:jc w:val="left"/>
      </w:pPr>
      <w:r>
        <w:tab/>
      </w:r>
      <w:bookmarkStart w:id="0" w:name="_GoBack"/>
      <w:bookmarkEnd w:id="0"/>
      <w:r w:rsidR="00E9385A">
        <w:t>CHECKLIST FOR LICENCE APPLICATION</w:t>
      </w:r>
    </w:p>
    <w:p w14:paraId="7FCDAA74" w14:textId="77777777" w:rsidR="007F1254" w:rsidRDefault="00E9385A">
      <w:pPr>
        <w:pStyle w:val="BodyText"/>
        <w:spacing w:before="182" w:line="259" w:lineRule="auto"/>
        <w:ind w:left="260" w:right="640"/>
      </w:pPr>
      <w:r>
        <w:t>SCHEDULE 1 of the Regulations provides a list of publications that each application must take into consideration.</w:t>
      </w:r>
    </w:p>
    <w:p w14:paraId="10112193" w14:textId="77777777" w:rsidR="007F1254" w:rsidRDefault="00E9385A">
      <w:pPr>
        <w:pStyle w:val="ListParagraph"/>
        <w:numPr>
          <w:ilvl w:val="0"/>
          <w:numId w:val="1"/>
        </w:numPr>
        <w:tabs>
          <w:tab w:val="left" w:pos="981"/>
        </w:tabs>
        <w:spacing w:before="1"/>
        <w:ind w:hanging="361"/>
      </w:pPr>
      <w:r>
        <w:t>Application Form (SCHEDULE</w:t>
      </w:r>
      <w:r>
        <w:rPr>
          <w:spacing w:val="-5"/>
        </w:rPr>
        <w:t xml:space="preserve"> </w:t>
      </w:r>
      <w:r>
        <w:t>2)</w:t>
      </w:r>
    </w:p>
    <w:p w14:paraId="7C41BA92" w14:textId="77777777" w:rsidR="007F1254" w:rsidRDefault="00E9385A">
      <w:pPr>
        <w:pStyle w:val="ListParagraph"/>
        <w:numPr>
          <w:ilvl w:val="0"/>
          <w:numId w:val="1"/>
        </w:numPr>
        <w:tabs>
          <w:tab w:val="left" w:pos="981"/>
        </w:tabs>
        <w:spacing w:before="22"/>
        <w:ind w:hanging="361"/>
      </w:pPr>
      <w:r>
        <w:t>Appropriate</w:t>
      </w:r>
      <w:r>
        <w:rPr>
          <w:spacing w:val="-1"/>
        </w:rPr>
        <w:t xml:space="preserve"> </w:t>
      </w:r>
      <w:r>
        <w:t>Fee</w:t>
      </w:r>
    </w:p>
    <w:p w14:paraId="009F7FC2" w14:textId="77777777" w:rsidR="007F1254" w:rsidRDefault="00E9385A">
      <w:pPr>
        <w:pStyle w:val="ListParagraph"/>
        <w:numPr>
          <w:ilvl w:val="0"/>
          <w:numId w:val="1"/>
        </w:numPr>
        <w:tabs>
          <w:tab w:val="left" w:pos="981"/>
        </w:tabs>
        <w:spacing w:before="19"/>
        <w:ind w:hanging="361"/>
      </w:pPr>
      <w:r>
        <w:t>Risk Assessment (SCHEDULE</w:t>
      </w:r>
      <w:r>
        <w:rPr>
          <w:spacing w:val="-2"/>
        </w:rPr>
        <w:t xml:space="preserve"> </w:t>
      </w:r>
      <w:r>
        <w:t>5)</w:t>
      </w:r>
    </w:p>
    <w:p w14:paraId="01F4EDC0" w14:textId="77777777" w:rsidR="007F1254" w:rsidRDefault="00E9385A">
      <w:pPr>
        <w:pStyle w:val="ListParagraph"/>
        <w:numPr>
          <w:ilvl w:val="0"/>
          <w:numId w:val="1"/>
        </w:numPr>
        <w:tabs>
          <w:tab w:val="left" w:pos="981"/>
        </w:tabs>
        <w:spacing w:before="22"/>
        <w:ind w:hanging="361"/>
      </w:pPr>
      <w:r>
        <w:t>Maps &amp; Drawings (SCHEDULE</w:t>
      </w:r>
      <w:r>
        <w:rPr>
          <w:spacing w:val="-4"/>
        </w:rPr>
        <w:t xml:space="preserve"> </w:t>
      </w:r>
      <w:r>
        <w:t>6)</w:t>
      </w:r>
    </w:p>
    <w:p w14:paraId="2C51A20A" w14:textId="77777777" w:rsidR="007F1254" w:rsidRDefault="007F1254">
      <w:pPr>
        <w:pStyle w:val="BodyText"/>
        <w:spacing w:before="10"/>
        <w:rPr>
          <w:sz w:val="24"/>
        </w:rPr>
      </w:pPr>
    </w:p>
    <w:p w14:paraId="52C21CF4" w14:textId="77777777" w:rsidR="007F1254" w:rsidRDefault="00E9385A">
      <w:pPr>
        <w:pStyle w:val="Heading2"/>
        <w:spacing w:before="0"/>
        <w:ind w:left="2753" w:right="2775"/>
        <w:jc w:val="center"/>
      </w:pPr>
      <w:r>
        <w:t>SCHEDULE 1</w:t>
      </w:r>
    </w:p>
    <w:p w14:paraId="7BDD9A7C" w14:textId="77777777" w:rsidR="007F1254" w:rsidRDefault="00E9385A">
      <w:pPr>
        <w:spacing w:before="118"/>
        <w:ind w:left="301"/>
        <w:rPr>
          <w:i/>
        </w:rPr>
      </w:pPr>
      <w:r>
        <w:rPr>
          <w:i/>
        </w:rPr>
        <w:t xml:space="preserve">Publications for good practice for retail and </w:t>
      </w:r>
      <w:proofErr w:type="spellStart"/>
      <w:r>
        <w:rPr>
          <w:i/>
        </w:rPr>
        <w:t>kerbside</w:t>
      </w:r>
      <w:proofErr w:type="spellEnd"/>
      <w:r>
        <w:rPr>
          <w:i/>
        </w:rPr>
        <w:t xml:space="preserve"> retail flammable liquids and fuels stores.</w:t>
      </w:r>
    </w:p>
    <w:p w14:paraId="7F7C8778" w14:textId="77777777" w:rsidR="007F1254" w:rsidRDefault="00E9385A">
      <w:pPr>
        <w:pStyle w:val="BodyText"/>
        <w:spacing w:before="120"/>
        <w:ind w:left="301" w:right="501"/>
      </w:pPr>
      <w:r>
        <w:t>As per Regulation 5(3), updated or revised versions of these guidance documents will be published periodically on the relevant websites of Local Authorities, the Appeals Authority, and the Minister.</w:t>
      </w:r>
    </w:p>
    <w:p w14:paraId="676613AF" w14:textId="77777777" w:rsidR="007F1254" w:rsidRDefault="007F1254">
      <w:pPr>
        <w:pStyle w:val="BodyText"/>
      </w:pPr>
    </w:p>
    <w:p w14:paraId="520DFB9C" w14:textId="77777777" w:rsidR="007F1254" w:rsidRDefault="007F1254">
      <w:pPr>
        <w:pStyle w:val="BodyText"/>
        <w:spacing w:before="9"/>
        <w:rPr>
          <w:sz w:val="19"/>
        </w:rPr>
      </w:pPr>
    </w:p>
    <w:p w14:paraId="7D7A841B" w14:textId="77777777" w:rsidR="007F1254" w:rsidRDefault="00E9385A">
      <w:pPr>
        <w:pStyle w:val="Heading2"/>
        <w:spacing w:before="0"/>
        <w:ind w:left="301"/>
      </w:pPr>
      <w:r>
        <w:rPr>
          <w:w w:val="105"/>
        </w:rPr>
        <w:t xml:space="preserve">Part 1 </w:t>
      </w:r>
      <w:r>
        <w:rPr>
          <w:rFonts w:ascii="Trebuchet MS" w:hAnsi="Trebuchet MS"/>
          <w:w w:val="105"/>
        </w:rPr>
        <w:t xml:space="preserve">– </w:t>
      </w:r>
      <w:r>
        <w:rPr>
          <w:w w:val="105"/>
        </w:rPr>
        <w:t>Publications which all stores must adhere to as far as is reasonably practicable</w:t>
      </w:r>
    </w:p>
    <w:p w14:paraId="602B0A59" w14:textId="77777777" w:rsidR="007F1254" w:rsidRDefault="00E9385A">
      <w:pPr>
        <w:pStyle w:val="ListParagraph"/>
        <w:numPr>
          <w:ilvl w:val="0"/>
          <w:numId w:val="2"/>
        </w:numPr>
        <w:tabs>
          <w:tab w:val="left" w:pos="462"/>
        </w:tabs>
        <w:spacing w:before="121"/>
        <w:ind w:left="461"/>
      </w:pPr>
      <w:r>
        <w:t>Energy Institute Design, construction, modification, maintenance and decommissioning of</w:t>
      </w:r>
      <w:r>
        <w:rPr>
          <w:spacing w:val="-26"/>
        </w:rPr>
        <w:t xml:space="preserve"> </w:t>
      </w:r>
      <w:r>
        <w:t>filling</w:t>
      </w:r>
    </w:p>
    <w:p w14:paraId="6E38F2FD" w14:textId="77777777" w:rsidR="007F1254" w:rsidRDefault="00E9385A">
      <w:pPr>
        <w:pStyle w:val="BodyText"/>
        <w:ind w:left="301"/>
      </w:pPr>
      <w:r>
        <w:t>stations (known as the Blue Book).</w:t>
      </w:r>
    </w:p>
    <w:p w14:paraId="19CEBB04" w14:textId="77777777" w:rsidR="007F1254" w:rsidRDefault="00E9385A">
      <w:pPr>
        <w:pStyle w:val="ListParagraph"/>
        <w:numPr>
          <w:ilvl w:val="0"/>
          <w:numId w:val="2"/>
        </w:numPr>
        <w:tabs>
          <w:tab w:val="left" w:pos="462"/>
        </w:tabs>
        <w:ind w:left="461"/>
      </w:pPr>
      <w:r>
        <w:t>PELG Petrol filling stations – Guidance on managing the risks of fire and explosion (The Red</w:t>
      </w:r>
      <w:r>
        <w:rPr>
          <w:spacing w:val="-26"/>
        </w:rPr>
        <w:t xml:space="preserve"> </w:t>
      </w:r>
      <w:r>
        <w:t>Guide).</w:t>
      </w:r>
    </w:p>
    <w:p w14:paraId="2AE93988" w14:textId="77777777" w:rsidR="007F1254" w:rsidRDefault="007F1254">
      <w:pPr>
        <w:pStyle w:val="BodyText"/>
      </w:pPr>
    </w:p>
    <w:p w14:paraId="5050EF45" w14:textId="77777777" w:rsidR="007F1254" w:rsidRDefault="007F1254">
      <w:pPr>
        <w:pStyle w:val="BodyText"/>
        <w:spacing w:before="6"/>
        <w:rPr>
          <w:sz w:val="19"/>
        </w:rPr>
      </w:pPr>
    </w:p>
    <w:p w14:paraId="4BF8143D" w14:textId="77777777" w:rsidR="007F1254" w:rsidRDefault="00E9385A">
      <w:pPr>
        <w:pStyle w:val="Heading2"/>
        <w:spacing w:before="0"/>
        <w:ind w:left="301" w:right="205"/>
      </w:pPr>
      <w:r>
        <w:rPr>
          <w:w w:val="105"/>
        </w:rPr>
        <w:t>Part</w:t>
      </w:r>
      <w:r>
        <w:rPr>
          <w:spacing w:val="-24"/>
          <w:w w:val="105"/>
        </w:rPr>
        <w:t xml:space="preserve"> </w:t>
      </w:r>
      <w:r>
        <w:rPr>
          <w:w w:val="105"/>
        </w:rPr>
        <w:t>2</w:t>
      </w:r>
      <w:r>
        <w:rPr>
          <w:spacing w:val="-24"/>
          <w:w w:val="105"/>
        </w:rPr>
        <w:t xml:space="preserve"> </w:t>
      </w:r>
      <w:r>
        <w:rPr>
          <w:rFonts w:ascii="Trebuchet MS" w:hAnsi="Trebuchet MS"/>
          <w:w w:val="105"/>
        </w:rPr>
        <w:t>–</w:t>
      </w:r>
      <w:r>
        <w:rPr>
          <w:rFonts w:ascii="Trebuchet MS" w:hAnsi="Trebuchet MS"/>
          <w:spacing w:val="-41"/>
          <w:w w:val="105"/>
        </w:rPr>
        <w:t xml:space="preserve"> </w:t>
      </w:r>
      <w:r>
        <w:rPr>
          <w:w w:val="105"/>
        </w:rPr>
        <w:t>Publications</w:t>
      </w:r>
      <w:r>
        <w:rPr>
          <w:spacing w:val="-25"/>
          <w:w w:val="105"/>
        </w:rPr>
        <w:t xml:space="preserve"> </w:t>
      </w:r>
      <w:r>
        <w:rPr>
          <w:w w:val="105"/>
        </w:rPr>
        <w:t>which</w:t>
      </w:r>
      <w:r>
        <w:rPr>
          <w:spacing w:val="-24"/>
          <w:w w:val="105"/>
        </w:rPr>
        <w:t xml:space="preserve"> </w:t>
      </w:r>
      <w:r>
        <w:rPr>
          <w:w w:val="105"/>
        </w:rPr>
        <w:t>must</w:t>
      </w:r>
      <w:r>
        <w:rPr>
          <w:spacing w:val="-23"/>
          <w:w w:val="105"/>
        </w:rPr>
        <w:t xml:space="preserve"> </w:t>
      </w:r>
      <w:r>
        <w:rPr>
          <w:w w:val="105"/>
        </w:rPr>
        <w:t>be</w:t>
      </w:r>
      <w:r>
        <w:rPr>
          <w:spacing w:val="-25"/>
          <w:w w:val="105"/>
        </w:rPr>
        <w:t xml:space="preserve"> </w:t>
      </w:r>
      <w:r>
        <w:rPr>
          <w:w w:val="105"/>
        </w:rPr>
        <w:t>adhered</w:t>
      </w:r>
      <w:r>
        <w:rPr>
          <w:spacing w:val="-24"/>
          <w:w w:val="105"/>
        </w:rPr>
        <w:t xml:space="preserve"> </w:t>
      </w:r>
      <w:r>
        <w:rPr>
          <w:w w:val="105"/>
        </w:rPr>
        <w:t>to</w:t>
      </w:r>
      <w:r>
        <w:rPr>
          <w:spacing w:val="-24"/>
          <w:w w:val="105"/>
        </w:rPr>
        <w:t xml:space="preserve"> </w:t>
      </w:r>
      <w:r>
        <w:rPr>
          <w:w w:val="105"/>
        </w:rPr>
        <w:t>as</w:t>
      </w:r>
      <w:r>
        <w:rPr>
          <w:spacing w:val="-23"/>
          <w:w w:val="105"/>
        </w:rPr>
        <w:t xml:space="preserve"> </w:t>
      </w:r>
      <w:r>
        <w:rPr>
          <w:w w:val="105"/>
        </w:rPr>
        <w:t>far</w:t>
      </w:r>
      <w:r>
        <w:rPr>
          <w:spacing w:val="-24"/>
          <w:w w:val="105"/>
        </w:rPr>
        <w:t xml:space="preserve"> </w:t>
      </w:r>
      <w:r>
        <w:rPr>
          <w:w w:val="105"/>
        </w:rPr>
        <w:t>as</w:t>
      </w:r>
      <w:r>
        <w:rPr>
          <w:spacing w:val="-25"/>
          <w:w w:val="105"/>
        </w:rPr>
        <w:t xml:space="preserve"> </w:t>
      </w:r>
      <w:r>
        <w:rPr>
          <w:w w:val="105"/>
        </w:rPr>
        <w:t>is</w:t>
      </w:r>
      <w:r>
        <w:rPr>
          <w:spacing w:val="-24"/>
          <w:w w:val="105"/>
        </w:rPr>
        <w:t xml:space="preserve"> </w:t>
      </w:r>
      <w:r>
        <w:rPr>
          <w:w w:val="105"/>
        </w:rPr>
        <w:t>reasonably</w:t>
      </w:r>
      <w:r>
        <w:rPr>
          <w:spacing w:val="-24"/>
          <w:w w:val="105"/>
        </w:rPr>
        <w:t xml:space="preserve"> </w:t>
      </w:r>
      <w:r>
        <w:rPr>
          <w:w w:val="105"/>
        </w:rPr>
        <w:t>practicable</w:t>
      </w:r>
      <w:r>
        <w:rPr>
          <w:spacing w:val="-24"/>
          <w:w w:val="105"/>
        </w:rPr>
        <w:t xml:space="preserve"> </w:t>
      </w:r>
      <w:r>
        <w:rPr>
          <w:w w:val="105"/>
        </w:rPr>
        <w:t>if</w:t>
      </w:r>
      <w:r>
        <w:rPr>
          <w:spacing w:val="-24"/>
          <w:w w:val="105"/>
        </w:rPr>
        <w:t xml:space="preserve"> </w:t>
      </w:r>
      <w:r>
        <w:rPr>
          <w:w w:val="105"/>
        </w:rPr>
        <w:t>they</w:t>
      </w:r>
      <w:r>
        <w:rPr>
          <w:spacing w:val="-24"/>
          <w:w w:val="105"/>
        </w:rPr>
        <w:t xml:space="preserve"> </w:t>
      </w:r>
      <w:r>
        <w:rPr>
          <w:w w:val="105"/>
        </w:rPr>
        <w:t>apply</w:t>
      </w:r>
      <w:r>
        <w:rPr>
          <w:spacing w:val="-25"/>
          <w:w w:val="105"/>
        </w:rPr>
        <w:t xml:space="preserve"> </w:t>
      </w:r>
      <w:r>
        <w:rPr>
          <w:w w:val="105"/>
        </w:rPr>
        <w:t>to the</w:t>
      </w:r>
      <w:r>
        <w:rPr>
          <w:spacing w:val="-4"/>
          <w:w w:val="105"/>
        </w:rPr>
        <w:t xml:space="preserve"> </w:t>
      </w:r>
      <w:r>
        <w:rPr>
          <w:w w:val="105"/>
        </w:rPr>
        <w:t>store</w:t>
      </w:r>
    </w:p>
    <w:p w14:paraId="072D50C4" w14:textId="77777777" w:rsidR="007F1254" w:rsidRDefault="00E9385A">
      <w:pPr>
        <w:pStyle w:val="ListParagraph"/>
        <w:numPr>
          <w:ilvl w:val="0"/>
          <w:numId w:val="2"/>
        </w:numPr>
        <w:tabs>
          <w:tab w:val="left" w:pos="462"/>
        </w:tabs>
        <w:spacing w:before="121"/>
        <w:ind w:right="1057" w:firstLine="0"/>
      </w:pPr>
      <w:r>
        <w:t>British Compressed Gas Association (BCGA) Code of practice 41 – The design, construction, maintenance and operation of filling stations dispensing gaseous fuels, Revision</w:t>
      </w:r>
      <w:r>
        <w:rPr>
          <w:spacing w:val="-15"/>
        </w:rPr>
        <w:t xml:space="preserve"> </w:t>
      </w:r>
      <w:r>
        <w:t>1</w:t>
      </w:r>
    </w:p>
    <w:p w14:paraId="70801231" w14:textId="77777777" w:rsidR="007F1254" w:rsidRDefault="00E9385A">
      <w:pPr>
        <w:pStyle w:val="ListParagraph"/>
        <w:numPr>
          <w:ilvl w:val="0"/>
          <w:numId w:val="2"/>
        </w:numPr>
        <w:tabs>
          <w:tab w:val="left" w:pos="462"/>
        </w:tabs>
        <w:ind w:left="461"/>
      </w:pPr>
      <w:r>
        <w:t>CONCAWE Environmental sensitivity assessment of retail filling stations in selected</w:t>
      </w:r>
      <w:r>
        <w:rPr>
          <w:spacing w:val="-20"/>
        </w:rPr>
        <w:t xml:space="preserve"> </w:t>
      </w:r>
      <w:r>
        <w:t>European</w:t>
      </w:r>
    </w:p>
    <w:p w14:paraId="7C46DB55" w14:textId="77777777" w:rsidR="007F1254" w:rsidRDefault="00E9385A">
      <w:pPr>
        <w:pStyle w:val="BodyText"/>
        <w:ind w:left="301"/>
      </w:pPr>
      <w:r>
        <w:t>Countries</w:t>
      </w:r>
    </w:p>
    <w:p w14:paraId="45593DB2" w14:textId="77777777" w:rsidR="007F1254" w:rsidRDefault="00E9385A">
      <w:pPr>
        <w:pStyle w:val="ListParagraph"/>
        <w:numPr>
          <w:ilvl w:val="0"/>
          <w:numId w:val="2"/>
        </w:numPr>
        <w:tabs>
          <w:tab w:val="left" w:pos="462"/>
        </w:tabs>
        <w:spacing w:before="121"/>
        <w:ind w:right="1107" w:firstLine="0"/>
      </w:pPr>
      <w:r>
        <w:t>CSN EN 13616-1 Overfill prevention devices for static tanks for liquid fuels - Part 1: Overfill prevention devices with closure device</w:t>
      </w:r>
    </w:p>
    <w:p w14:paraId="0BA0AC36" w14:textId="77777777" w:rsidR="007F1254" w:rsidRDefault="00E9385A">
      <w:pPr>
        <w:pStyle w:val="ListParagraph"/>
        <w:numPr>
          <w:ilvl w:val="0"/>
          <w:numId w:val="2"/>
        </w:numPr>
        <w:tabs>
          <w:tab w:val="left" w:pos="462"/>
        </w:tabs>
        <w:spacing w:before="121"/>
        <w:ind w:right="1107" w:firstLine="0"/>
      </w:pPr>
      <w:r>
        <w:t>CSN EN 13616-2 Overfill prevention devices for static tanks for liquid fuels - Part 2: Overfill prevention devices without a closure</w:t>
      </w:r>
      <w:r>
        <w:rPr>
          <w:spacing w:val="-2"/>
        </w:rPr>
        <w:t xml:space="preserve"> </w:t>
      </w:r>
      <w:r>
        <w:t>device</w:t>
      </w:r>
    </w:p>
    <w:p w14:paraId="2DFB3F3A" w14:textId="77777777" w:rsidR="007F1254" w:rsidRDefault="00E9385A">
      <w:pPr>
        <w:pStyle w:val="ListParagraph"/>
        <w:numPr>
          <w:ilvl w:val="0"/>
          <w:numId w:val="2"/>
        </w:numPr>
        <w:tabs>
          <w:tab w:val="left" w:pos="462"/>
        </w:tabs>
        <w:spacing w:before="118"/>
        <w:ind w:right="1334" w:firstLine="0"/>
      </w:pPr>
      <w:r>
        <w:t>CSN EN 13617-1 Petrol filling stations - Part 1: Safety requirements for construction and performance of metering pumps, dispensers and remote pumping</w:t>
      </w:r>
      <w:r>
        <w:rPr>
          <w:spacing w:val="-12"/>
        </w:rPr>
        <w:t xml:space="preserve"> </w:t>
      </w:r>
      <w:r>
        <w:t>units</w:t>
      </w:r>
    </w:p>
    <w:p w14:paraId="1AB562F9" w14:textId="77777777" w:rsidR="007F1254" w:rsidRDefault="00E9385A">
      <w:pPr>
        <w:pStyle w:val="ListParagraph"/>
        <w:numPr>
          <w:ilvl w:val="0"/>
          <w:numId w:val="2"/>
        </w:numPr>
        <w:tabs>
          <w:tab w:val="left" w:pos="462"/>
        </w:tabs>
        <w:ind w:right="1333" w:firstLine="0"/>
      </w:pPr>
      <w:r>
        <w:t>CSN EN 13617-2 Petrol filling stations - Part 2: Safety requirements for construction and performance of safe breaks for use on metering pumps and</w:t>
      </w:r>
      <w:r>
        <w:rPr>
          <w:spacing w:val="-14"/>
        </w:rPr>
        <w:t xml:space="preserve"> </w:t>
      </w:r>
      <w:r>
        <w:t>dispensers</w:t>
      </w:r>
    </w:p>
    <w:p w14:paraId="3BA2A833" w14:textId="77777777" w:rsidR="007F1254" w:rsidRDefault="00E9385A">
      <w:pPr>
        <w:pStyle w:val="ListParagraph"/>
        <w:numPr>
          <w:ilvl w:val="0"/>
          <w:numId w:val="2"/>
        </w:numPr>
        <w:tabs>
          <w:tab w:val="left" w:pos="462"/>
        </w:tabs>
        <w:spacing w:before="121"/>
        <w:ind w:right="1334" w:firstLine="0"/>
      </w:pPr>
      <w:r>
        <w:t>CSN EN 13617-3 Petrol filling stations - Part 3: Safety requirements for construction and performance of shear</w:t>
      </w:r>
      <w:r>
        <w:rPr>
          <w:spacing w:val="-8"/>
        </w:rPr>
        <w:t xml:space="preserve"> </w:t>
      </w:r>
      <w:r>
        <w:t>valves</w:t>
      </w:r>
    </w:p>
    <w:p w14:paraId="6A1B79C7" w14:textId="77777777" w:rsidR="007F1254" w:rsidRDefault="00E9385A">
      <w:pPr>
        <w:pStyle w:val="ListParagraph"/>
        <w:numPr>
          <w:ilvl w:val="0"/>
          <w:numId w:val="2"/>
        </w:numPr>
        <w:tabs>
          <w:tab w:val="left" w:pos="462"/>
        </w:tabs>
        <w:ind w:right="1333" w:firstLine="0"/>
      </w:pPr>
      <w:r>
        <w:t>CSN EN 13617-4 Petrol filling stations - Part 4: Safety requirements for construction and performance of swivels for use on metering pumps and</w:t>
      </w:r>
      <w:r>
        <w:rPr>
          <w:spacing w:val="-13"/>
        </w:rPr>
        <w:t xml:space="preserve"> </w:t>
      </w:r>
      <w:r>
        <w:t>dispensers</w:t>
      </w:r>
    </w:p>
    <w:p w14:paraId="3B1BAB8C" w14:textId="77777777" w:rsidR="007F1254" w:rsidRDefault="00E9385A">
      <w:pPr>
        <w:pStyle w:val="ListParagraph"/>
        <w:numPr>
          <w:ilvl w:val="0"/>
          <w:numId w:val="2"/>
        </w:numPr>
        <w:tabs>
          <w:tab w:val="left" w:pos="462"/>
        </w:tabs>
        <w:spacing w:before="121"/>
        <w:ind w:left="461"/>
      </w:pPr>
      <w:r>
        <w:t>CSN EN 14125 Thermoplastic and flexible metal pipework for underground installation at</w:t>
      </w:r>
      <w:r>
        <w:rPr>
          <w:spacing w:val="-24"/>
        </w:rPr>
        <w:t xml:space="preserve"> </w:t>
      </w:r>
      <w:r>
        <w:t>petrol</w:t>
      </w:r>
    </w:p>
    <w:p w14:paraId="2F90F50C" w14:textId="77777777" w:rsidR="007F1254" w:rsidRDefault="00E9385A">
      <w:pPr>
        <w:pStyle w:val="BodyText"/>
        <w:ind w:left="301"/>
      </w:pPr>
      <w:r>
        <w:t>filling stations</w:t>
      </w:r>
    </w:p>
    <w:p w14:paraId="6715A95F" w14:textId="77777777" w:rsidR="007F1254" w:rsidRDefault="00E9385A">
      <w:pPr>
        <w:pStyle w:val="ListParagraph"/>
        <w:numPr>
          <w:ilvl w:val="0"/>
          <w:numId w:val="2"/>
        </w:numPr>
        <w:tabs>
          <w:tab w:val="left" w:pos="462"/>
        </w:tabs>
        <w:spacing w:before="118"/>
        <w:ind w:right="336" w:firstLine="0"/>
      </w:pPr>
      <w:r>
        <w:t xml:space="preserve">CSN EN 16321-1 Petrol </w:t>
      </w:r>
      <w:proofErr w:type="spellStart"/>
      <w:r>
        <w:t>vapour</w:t>
      </w:r>
      <w:proofErr w:type="spellEnd"/>
      <w:r>
        <w:t xml:space="preserve"> recovery during refueling of motor vehicles at service stations - Part 1: Test methods for the type approval efficiency assessment of petrol </w:t>
      </w:r>
      <w:proofErr w:type="spellStart"/>
      <w:r>
        <w:t>vapour</w:t>
      </w:r>
      <w:proofErr w:type="spellEnd"/>
      <w:r>
        <w:t xml:space="preserve"> recovery</w:t>
      </w:r>
      <w:r>
        <w:rPr>
          <w:spacing w:val="-23"/>
        </w:rPr>
        <w:t xml:space="preserve"> </w:t>
      </w:r>
      <w:r>
        <w:t>systems</w:t>
      </w:r>
    </w:p>
    <w:p w14:paraId="450F7D73" w14:textId="77777777" w:rsidR="007F1254" w:rsidRDefault="00E9385A">
      <w:pPr>
        <w:pStyle w:val="ListParagraph"/>
        <w:numPr>
          <w:ilvl w:val="0"/>
          <w:numId w:val="2"/>
        </w:numPr>
        <w:tabs>
          <w:tab w:val="left" w:pos="462"/>
        </w:tabs>
        <w:spacing w:before="121"/>
        <w:ind w:right="336" w:firstLine="0"/>
      </w:pPr>
      <w:r>
        <w:t xml:space="preserve">CSN EN 16321-2 Petrol </w:t>
      </w:r>
      <w:proofErr w:type="spellStart"/>
      <w:r>
        <w:t>vapour</w:t>
      </w:r>
      <w:proofErr w:type="spellEnd"/>
      <w:r>
        <w:t xml:space="preserve"> recovery during refueling of motor vehicles at service stations - Part 2: Test methods for verification of </w:t>
      </w:r>
      <w:proofErr w:type="spellStart"/>
      <w:r>
        <w:t>vapour</w:t>
      </w:r>
      <w:proofErr w:type="spellEnd"/>
      <w:r>
        <w:t xml:space="preserve"> recovery systems at service</w:t>
      </w:r>
      <w:r>
        <w:rPr>
          <w:spacing w:val="-17"/>
        </w:rPr>
        <w:t xml:space="preserve"> </w:t>
      </w:r>
      <w:r>
        <w:t>stations</w:t>
      </w:r>
    </w:p>
    <w:p w14:paraId="7E4C79BE" w14:textId="77777777" w:rsidR="007F1254" w:rsidRDefault="007F1254">
      <w:pPr>
        <w:sectPr w:rsidR="007F1254">
          <w:headerReference w:type="even" r:id="rId7"/>
          <w:headerReference w:type="default" r:id="rId8"/>
          <w:footerReference w:type="even" r:id="rId9"/>
          <w:footerReference w:type="default" r:id="rId10"/>
          <w:headerReference w:type="first" r:id="rId11"/>
          <w:footerReference w:type="first" r:id="rId12"/>
          <w:pgSz w:w="11910" w:h="16840"/>
          <w:pgMar w:top="1380" w:right="1100" w:bottom="280" w:left="1180" w:header="720" w:footer="720" w:gutter="0"/>
          <w:cols w:space="720"/>
        </w:sectPr>
      </w:pPr>
    </w:p>
    <w:p w14:paraId="56E76D7A" w14:textId="77777777" w:rsidR="007F1254" w:rsidRDefault="00E9385A">
      <w:pPr>
        <w:pStyle w:val="ListParagraph"/>
        <w:numPr>
          <w:ilvl w:val="0"/>
          <w:numId w:val="2"/>
        </w:numPr>
        <w:tabs>
          <w:tab w:val="left" w:pos="462"/>
        </w:tabs>
        <w:spacing w:before="41"/>
        <w:ind w:right="472" w:firstLine="0"/>
      </w:pPr>
      <w:r>
        <w:lastRenderedPageBreak/>
        <w:t>CSN EN 16657 Tanks for the transport of dangerous goods - Transport tank equipment for overfill prevention devices for static</w:t>
      </w:r>
      <w:r>
        <w:rPr>
          <w:spacing w:val="-1"/>
        </w:rPr>
        <w:t xml:space="preserve"> </w:t>
      </w:r>
      <w:r>
        <w:t>tanks</w:t>
      </w:r>
    </w:p>
    <w:p w14:paraId="075FBA1D" w14:textId="77777777" w:rsidR="007F1254" w:rsidRDefault="00E9385A">
      <w:pPr>
        <w:pStyle w:val="ListParagraph"/>
        <w:numPr>
          <w:ilvl w:val="0"/>
          <w:numId w:val="2"/>
        </w:numPr>
        <w:tabs>
          <w:tab w:val="left" w:pos="462"/>
        </w:tabs>
        <w:spacing w:before="121"/>
        <w:ind w:right="586" w:firstLine="0"/>
      </w:pPr>
      <w:r>
        <w:t>CSN EN13012 Petrol filling stations - Construction and performance of automatic nozzles for use on fuel</w:t>
      </w:r>
      <w:r>
        <w:rPr>
          <w:spacing w:val="-2"/>
        </w:rPr>
        <w:t xml:space="preserve"> </w:t>
      </w:r>
      <w:r>
        <w:t>dispensers</w:t>
      </w:r>
    </w:p>
    <w:p w14:paraId="7E73A760" w14:textId="77777777" w:rsidR="007F1254" w:rsidRDefault="00E9385A">
      <w:pPr>
        <w:pStyle w:val="ListParagraph"/>
        <w:numPr>
          <w:ilvl w:val="0"/>
          <w:numId w:val="2"/>
        </w:numPr>
        <w:tabs>
          <w:tab w:val="left" w:pos="462"/>
        </w:tabs>
        <w:spacing w:before="118"/>
        <w:ind w:left="461"/>
      </w:pPr>
      <w:r>
        <w:t>Energy Institute – A risk-based approach to hazardous area</w:t>
      </w:r>
      <w:r>
        <w:rPr>
          <w:spacing w:val="-10"/>
        </w:rPr>
        <w:t xml:space="preserve"> </w:t>
      </w:r>
      <w:r>
        <w:t>classification</w:t>
      </w:r>
    </w:p>
    <w:p w14:paraId="35E8FA99" w14:textId="77777777" w:rsidR="007F1254" w:rsidRDefault="00E9385A">
      <w:pPr>
        <w:pStyle w:val="ListParagraph"/>
        <w:numPr>
          <w:ilvl w:val="0"/>
          <w:numId w:val="2"/>
        </w:numPr>
        <w:tabs>
          <w:tab w:val="left" w:pos="462"/>
        </w:tabs>
        <w:ind w:right="608" w:firstLine="0"/>
      </w:pPr>
      <w:r>
        <w:t>Energy Institute – Model code of safe practice Part 1: The selection, installation, inspection, and maintenance of electrical and non-electrical apparatus in hazardous</w:t>
      </w:r>
      <w:r>
        <w:rPr>
          <w:spacing w:val="-6"/>
        </w:rPr>
        <w:t xml:space="preserve"> </w:t>
      </w:r>
      <w:r>
        <w:t>areas</w:t>
      </w:r>
    </w:p>
    <w:p w14:paraId="45E288A3" w14:textId="77777777" w:rsidR="007F1254" w:rsidRDefault="00E9385A">
      <w:pPr>
        <w:pStyle w:val="ListParagraph"/>
        <w:numPr>
          <w:ilvl w:val="0"/>
          <w:numId w:val="2"/>
        </w:numPr>
        <w:tabs>
          <w:tab w:val="left" w:pos="462"/>
        </w:tabs>
        <w:ind w:left="461"/>
      </w:pPr>
      <w:r>
        <w:t>Energy Institute – Model code of safe practice Part 12: Pressure vessel</w:t>
      </w:r>
      <w:r>
        <w:rPr>
          <w:spacing w:val="-18"/>
        </w:rPr>
        <w:t xml:space="preserve"> </w:t>
      </w:r>
      <w:r>
        <w:t>examination</w:t>
      </w:r>
    </w:p>
    <w:p w14:paraId="1EA0B2E1" w14:textId="77777777" w:rsidR="007F1254" w:rsidRDefault="00E9385A">
      <w:pPr>
        <w:pStyle w:val="ListParagraph"/>
        <w:numPr>
          <w:ilvl w:val="0"/>
          <w:numId w:val="2"/>
        </w:numPr>
        <w:tabs>
          <w:tab w:val="left" w:pos="462"/>
        </w:tabs>
        <w:spacing w:before="121"/>
        <w:ind w:left="461"/>
      </w:pPr>
      <w:r>
        <w:t>Energy Institute – Model code of safe practice Part 13: Pressure piping systems</w:t>
      </w:r>
      <w:r>
        <w:rPr>
          <w:spacing w:val="-22"/>
        </w:rPr>
        <w:t xml:space="preserve"> </w:t>
      </w:r>
      <w:r>
        <w:t>examination</w:t>
      </w:r>
    </w:p>
    <w:p w14:paraId="15FB172A" w14:textId="77777777" w:rsidR="007F1254" w:rsidRDefault="00E9385A">
      <w:pPr>
        <w:pStyle w:val="ListParagraph"/>
        <w:numPr>
          <w:ilvl w:val="0"/>
          <w:numId w:val="2"/>
        </w:numPr>
        <w:tabs>
          <w:tab w:val="left" w:pos="463"/>
        </w:tabs>
        <w:ind w:right="1075" w:firstLine="0"/>
      </w:pPr>
      <w:r>
        <w:t>Energy Institute – Model code of safe practice Part 14: Inspection and testing of protective instrumentation</w:t>
      </w:r>
      <w:r>
        <w:rPr>
          <w:spacing w:val="-5"/>
        </w:rPr>
        <w:t xml:space="preserve"> </w:t>
      </w:r>
      <w:r>
        <w:t>systems</w:t>
      </w:r>
    </w:p>
    <w:p w14:paraId="5CB46D4A" w14:textId="77777777" w:rsidR="007F1254" w:rsidRDefault="00E9385A">
      <w:pPr>
        <w:pStyle w:val="ListParagraph"/>
        <w:numPr>
          <w:ilvl w:val="0"/>
          <w:numId w:val="2"/>
        </w:numPr>
        <w:tabs>
          <w:tab w:val="left" w:pos="462"/>
        </w:tabs>
        <w:ind w:right="719" w:firstLine="0"/>
      </w:pPr>
      <w:r>
        <w:t>Energy Institute – Model code of safe practice Part 15: Area classification code for installations handling flammable</w:t>
      </w:r>
      <w:r>
        <w:rPr>
          <w:spacing w:val="-5"/>
        </w:rPr>
        <w:t xml:space="preserve"> </w:t>
      </w:r>
      <w:r>
        <w:t>fluids</w:t>
      </w:r>
    </w:p>
    <w:p w14:paraId="10D19138" w14:textId="77777777" w:rsidR="007F1254" w:rsidRDefault="00E9385A">
      <w:pPr>
        <w:pStyle w:val="ListParagraph"/>
        <w:numPr>
          <w:ilvl w:val="0"/>
          <w:numId w:val="2"/>
        </w:numPr>
        <w:tabs>
          <w:tab w:val="left" w:pos="462"/>
        </w:tabs>
        <w:spacing w:before="121"/>
        <w:ind w:left="461"/>
      </w:pPr>
      <w:r>
        <w:t>Energy Institute – Model code of safe practice Part 16: Tank cleaning safety</w:t>
      </w:r>
      <w:r>
        <w:rPr>
          <w:spacing w:val="-20"/>
        </w:rPr>
        <w:t xml:space="preserve"> </w:t>
      </w:r>
      <w:r>
        <w:t>code</w:t>
      </w:r>
    </w:p>
    <w:p w14:paraId="52BCC2F2" w14:textId="77777777" w:rsidR="007F1254" w:rsidRDefault="00E9385A">
      <w:pPr>
        <w:pStyle w:val="ListParagraph"/>
        <w:numPr>
          <w:ilvl w:val="0"/>
          <w:numId w:val="2"/>
        </w:numPr>
        <w:tabs>
          <w:tab w:val="left" w:pos="462"/>
        </w:tabs>
        <w:spacing w:before="118"/>
        <w:ind w:left="461"/>
      </w:pPr>
      <w:r>
        <w:t>Energy Institute Guidance document on risk assessment for the water environment at</w:t>
      </w:r>
      <w:r>
        <w:rPr>
          <w:spacing w:val="-25"/>
        </w:rPr>
        <w:t xml:space="preserve"> </w:t>
      </w:r>
      <w:r>
        <w:t>operational</w:t>
      </w:r>
    </w:p>
    <w:p w14:paraId="2E8FA132" w14:textId="77777777" w:rsidR="007F1254" w:rsidRDefault="00E9385A">
      <w:pPr>
        <w:pStyle w:val="BodyText"/>
        <w:spacing w:before="1"/>
        <w:ind w:left="301"/>
      </w:pPr>
      <w:r>
        <w:t>fuel storage and dispensing facilities</w:t>
      </w:r>
    </w:p>
    <w:p w14:paraId="5727C87D" w14:textId="77777777" w:rsidR="007F1254" w:rsidRDefault="00E9385A">
      <w:pPr>
        <w:pStyle w:val="ListParagraph"/>
        <w:numPr>
          <w:ilvl w:val="0"/>
          <w:numId w:val="2"/>
        </w:numPr>
        <w:tabs>
          <w:tab w:val="left" w:pos="462"/>
        </w:tabs>
        <w:ind w:right="854" w:firstLine="0"/>
      </w:pPr>
      <w:r>
        <w:t xml:space="preserve">Energy Institute Report on the risk of static ignition during vehicular </w:t>
      </w:r>
      <w:proofErr w:type="spellStart"/>
      <w:r>
        <w:t>refuelling</w:t>
      </w:r>
      <w:proofErr w:type="spellEnd"/>
      <w:r>
        <w:t>: A study of the available relevant</w:t>
      </w:r>
      <w:r>
        <w:rPr>
          <w:spacing w:val="-1"/>
        </w:rPr>
        <w:t xml:space="preserve"> </w:t>
      </w:r>
      <w:r>
        <w:t>research.</w:t>
      </w:r>
    </w:p>
    <w:p w14:paraId="2C434EA2" w14:textId="77777777" w:rsidR="007F1254" w:rsidRDefault="00E9385A">
      <w:pPr>
        <w:pStyle w:val="ListParagraph"/>
        <w:numPr>
          <w:ilvl w:val="0"/>
          <w:numId w:val="2"/>
        </w:numPr>
        <w:tabs>
          <w:tab w:val="left" w:pos="462"/>
        </w:tabs>
        <w:ind w:left="461"/>
      </w:pPr>
      <w:r>
        <w:t>Energy Institute Guidance on external cathodic protection of underground steel storage tanks</w:t>
      </w:r>
      <w:r>
        <w:rPr>
          <w:spacing w:val="-20"/>
        </w:rPr>
        <w:t xml:space="preserve"> </w:t>
      </w:r>
      <w:r>
        <w:t>and</w:t>
      </w:r>
    </w:p>
    <w:p w14:paraId="2D2C73EB" w14:textId="77777777" w:rsidR="007F1254" w:rsidRDefault="00E9385A">
      <w:pPr>
        <w:pStyle w:val="BodyText"/>
        <w:ind w:left="301"/>
      </w:pPr>
      <w:r>
        <w:t>steel pipework at petrol filling stations</w:t>
      </w:r>
    </w:p>
    <w:p w14:paraId="1D67DAC3" w14:textId="77777777" w:rsidR="007F1254" w:rsidRDefault="00E9385A">
      <w:pPr>
        <w:pStyle w:val="ListParagraph"/>
        <w:numPr>
          <w:ilvl w:val="0"/>
          <w:numId w:val="2"/>
        </w:numPr>
        <w:tabs>
          <w:tab w:val="left" w:pos="462"/>
        </w:tabs>
        <w:spacing w:before="121"/>
        <w:ind w:right="664" w:firstLine="0"/>
      </w:pPr>
      <w:r>
        <w:t xml:space="preserve">Energy Institute Quantified risk assessment of the ignition of flammable </w:t>
      </w:r>
      <w:proofErr w:type="spellStart"/>
      <w:r>
        <w:t>vapour</w:t>
      </w:r>
      <w:proofErr w:type="spellEnd"/>
      <w:r>
        <w:t xml:space="preserve"> on petrol filling station forecourts during road tanker offloading due to thermite</w:t>
      </w:r>
      <w:r>
        <w:rPr>
          <w:spacing w:val="-11"/>
        </w:rPr>
        <w:t xml:space="preserve"> </w:t>
      </w:r>
      <w:r>
        <w:t>sparking</w:t>
      </w:r>
    </w:p>
    <w:p w14:paraId="34401CE5" w14:textId="77777777" w:rsidR="007F1254" w:rsidRDefault="00E9385A">
      <w:pPr>
        <w:pStyle w:val="ListParagraph"/>
        <w:numPr>
          <w:ilvl w:val="0"/>
          <w:numId w:val="2"/>
        </w:numPr>
        <w:tabs>
          <w:tab w:val="left" w:pos="462"/>
        </w:tabs>
        <w:ind w:right="510" w:firstLine="0"/>
      </w:pPr>
      <w:r>
        <w:t xml:space="preserve">Energy Institute Electrical installations of facilities for the storage and dispensing of LPG and CNG automotive fuels at vehicle </w:t>
      </w:r>
      <w:proofErr w:type="spellStart"/>
      <w:r>
        <w:t>refuelling</w:t>
      </w:r>
      <w:proofErr w:type="spellEnd"/>
      <w:r>
        <w:rPr>
          <w:spacing w:val="-8"/>
        </w:rPr>
        <w:t xml:space="preserve"> </w:t>
      </w:r>
      <w:r>
        <w:t>stations</w:t>
      </w:r>
    </w:p>
    <w:p w14:paraId="1AA13D8F" w14:textId="77777777" w:rsidR="007F1254" w:rsidRDefault="00E9385A">
      <w:pPr>
        <w:pStyle w:val="ListParagraph"/>
        <w:numPr>
          <w:ilvl w:val="0"/>
          <w:numId w:val="2"/>
        </w:numPr>
        <w:tabs>
          <w:tab w:val="left" w:pos="462"/>
        </w:tabs>
        <w:spacing w:before="119"/>
        <w:ind w:left="461"/>
      </w:pPr>
      <w:r>
        <w:t>Energy Institute Guidelines for uplift of product from retail filling stations and customer</w:t>
      </w:r>
      <w:r>
        <w:rPr>
          <w:spacing w:val="-22"/>
        </w:rPr>
        <w:t xml:space="preserve"> </w:t>
      </w:r>
      <w:r>
        <w:t>tanks</w:t>
      </w:r>
    </w:p>
    <w:p w14:paraId="36C34B8D" w14:textId="77777777" w:rsidR="007F1254" w:rsidRDefault="00E9385A">
      <w:pPr>
        <w:pStyle w:val="ListParagraph"/>
        <w:numPr>
          <w:ilvl w:val="0"/>
          <w:numId w:val="2"/>
        </w:numPr>
        <w:tabs>
          <w:tab w:val="left" w:pos="462"/>
        </w:tabs>
        <w:ind w:left="461"/>
      </w:pPr>
      <w:r>
        <w:t>Energy Institute Code of practice for entry into underground storage tanks at filling</w:t>
      </w:r>
      <w:r>
        <w:rPr>
          <w:spacing w:val="-22"/>
        </w:rPr>
        <w:t xml:space="preserve"> </w:t>
      </w:r>
      <w:r>
        <w:t>stations.</w:t>
      </w:r>
    </w:p>
    <w:p w14:paraId="7D362754" w14:textId="77777777" w:rsidR="007F1254" w:rsidRDefault="00E9385A">
      <w:pPr>
        <w:pStyle w:val="ListParagraph"/>
        <w:numPr>
          <w:ilvl w:val="0"/>
          <w:numId w:val="2"/>
        </w:numPr>
        <w:tabs>
          <w:tab w:val="left" w:pos="463"/>
        </w:tabs>
        <w:ind w:right="676" w:firstLine="0"/>
      </w:pPr>
      <w:r>
        <w:t>Energy Institute Guidance on reducing human failure in petroleum product distribution loading and unloading</w:t>
      </w:r>
      <w:r>
        <w:rPr>
          <w:spacing w:val="-2"/>
        </w:rPr>
        <w:t xml:space="preserve"> </w:t>
      </w:r>
      <w:r>
        <w:t>operations</w:t>
      </w:r>
    </w:p>
    <w:p w14:paraId="218FA9D1" w14:textId="77777777" w:rsidR="007F1254" w:rsidRDefault="00E9385A">
      <w:pPr>
        <w:pStyle w:val="ListParagraph"/>
        <w:numPr>
          <w:ilvl w:val="0"/>
          <w:numId w:val="2"/>
        </w:numPr>
        <w:tabs>
          <w:tab w:val="left" w:pos="462"/>
        </w:tabs>
        <w:spacing w:before="121"/>
        <w:ind w:left="461"/>
      </w:pPr>
      <w:r>
        <w:t>Energy Institute Code of safe practice for Contractors and retailers managing contractors</w:t>
      </w:r>
      <w:r>
        <w:rPr>
          <w:spacing w:val="-19"/>
        </w:rPr>
        <w:t xml:space="preserve"> </w:t>
      </w:r>
      <w:r>
        <w:t>working</w:t>
      </w:r>
    </w:p>
    <w:p w14:paraId="1F728AC6" w14:textId="77777777" w:rsidR="007F1254" w:rsidRDefault="00E9385A">
      <w:pPr>
        <w:pStyle w:val="BodyText"/>
        <w:ind w:left="301"/>
      </w:pPr>
      <w:r>
        <w:t>on filling stations</w:t>
      </w:r>
    </w:p>
    <w:p w14:paraId="08428B3A" w14:textId="77777777" w:rsidR="007F1254" w:rsidRDefault="00E9385A">
      <w:pPr>
        <w:pStyle w:val="ListParagraph"/>
        <w:numPr>
          <w:ilvl w:val="0"/>
          <w:numId w:val="2"/>
        </w:numPr>
        <w:tabs>
          <w:tab w:val="left" w:pos="462"/>
        </w:tabs>
        <w:ind w:left="461"/>
      </w:pPr>
      <w:r>
        <w:t>Energy Institute Guidance on the declassification of tanks previously in leaded gasoline</w:t>
      </w:r>
      <w:r>
        <w:rPr>
          <w:spacing w:val="-18"/>
        </w:rPr>
        <w:t xml:space="preserve"> </w:t>
      </w:r>
      <w:r>
        <w:t>service</w:t>
      </w:r>
    </w:p>
    <w:p w14:paraId="7BE3D382" w14:textId="77777777" w:rsidR="007F1254" w:rsidRDefault="00E9385A">
      <w:pPr>
        <w:pStyle w:val="ListParagraph"/>
        <w:numPr>
          <w:ilvl w:val="0"/>
          <w:numId w:val="2"/>
        </w:numPr>
        <w:tabs>
          <w:tab w:val="left" w:pos="462"/>
        </w:tabs>
        <w:ind w:left="461"/>
      </w:pPr>
      <w:r>
        <w:t>Energy Institute Guidance on the implications of groundwater protection: principles and</w:t>
      </w:r>
      <w:r>
        <w:rPr>
          <w:spacing w:val="-23"/>
        </w:rPr>
        <w:t xml:space="preserve"> </w:t>
      </w:r>
      <w:r>
        <w:t>practices</w:t>
      </w:r>
    </w:p>
    <w:p w14:paraId="6E361F34" w14:textId="77777777" w:rsidR="007F1254" w:rsidRDefault="00E9385A">
      <w:pPr>
        <w:pStyle w:val="BodyText"/>
        <w:spacing w:before="1"/>
        <w:ind w:left="301"/>
      </w:pPr>
      <w:r>
        <w:t>(GP3) on the refurbishment ore redevelopment of petrol filling stations</w:t>
      </w:r>
    </w:p>
    <w:p w14:paraId="2D580D32" w14:textId="77777777" w:rsidR="007F1254" w:rsidRDefault="00E9385A">
      <w:pPr>
        <w:pStyle w:val="ListParagraph"/>
        <w:numPr>
          <w:ilvl w:val="0"/>
          <w:numId w:val="2"/>
        </w:numPr>
        <w:tabs>
          <w:tab w:val="left" w:pos="462"/>
        </w:tabs>
        <w:ind w:right="731" w:firstLine="0"/>
      </w:pPr>
      <w:r>
        <w:t>Energy Institute Report A comparison of risks related to the storage of hydrocarbons in above- ground and underground tanks at petrol filling</w:t>
      </w:r>
      <w:r>
        <w:rPr>
          <w:spacing w:val="-5"/>
        </w:rPr>
        <w:t xml:space="preserve"> </w:t>
      </w:r>
      <w:r>
        <w:t>stations</w:t>
      </w:r>
    </w:p>
    <w:p w14:paraId="25FF0205" w14:textId="77777777" w:rsidR="007F1254" w:rsidRDefault="00E9385A">
      <w:pPr>
        <w:pStyle w:val="ListParagraph"/>
        <w:numPr>
          <w:ilvl w:val="0"/>
          <w:numId w:val="2"/>
        </w:numPr>
        <w:tabs>
          <w:tab w:val="left" w:pos="462"/>
        </w:tabs>
        <w:spacing w:before="119"/>
        <w:ind w:left="461"/>
      </w:pPr>
      <w:r>
        <w:t>Energy Institute Guidance on design and operating limits for fuel storage tanks at retail</w:t>
      </w:r>
      <w:r>
        <w:rPr>
          <w:spacing w:val="-23"/>
        </w:rPr>
        <w:t xml:space="preserve"> </w:t>
      </w:r>
      <w:r>
        <w:t>filling</w:t>
      </w:r>
    </w:p>
    <w:p w14:paraId="42FD3EE7" w14:textId="77777777" w:rsidR="007F1254" w:rsidRDefault="00E9385A">
      <w:pPr>
        <w:pStyle w:val="BodyText"/>
        <w:ind w:left="301"/>
      </w:pPr>
      <w:r>
        <w:t>stations</w:t>
      </w:r>
    </w:p>
    <w:p w14:paraId="0862E988" w14:textId="77777777" w:rsidR="007F1254" w:rsidRDefault="00E9385A">
      <w:pPr>
        <w:pStyle w:val="ListParagraph"/>
        <w:numPr>
          <w:ilvl w:val="0"/>
          <w:numId w:val="2"/>
        </w:numPr>
        <w:tabs>
          <w:tab w:val="left" w:pos="462"/>
        </w:tabs>
        <w:ind w:left="461"/>
      </w:pPr>
      <w:r>
        <w:t>Energy Institute Guidelines for an emergency action plan for fire and explosion risks at</w:t>
      </w:r>
      <w:r>
        <w:rPr>
          <w:spacing w:val="-23"/>
        </w:rPr>
        <w:t xml:space="preserve"> </w:t>
      </w:r>
      <w:r>
        <w:t>filling</w:t>
      </w:r>
    </w:p>
    <w:p w14:paraId="55A5B011" w14:textId="77777777" w:rsidR="007F1254" w:rsidRDefault="00E9385A">
      <w:pPr>
        <w:pStyle w:val="BodyText"/>
        <w:ind w:left="301"/>
      </w:pPr>
      <w:r>
        <w:t>stations</w:t>
      </w:r>
    </w:p>
    <w:p w14:paraId="506055B7" w14:textId="77777777" w:rsidR="007F1254" w:rsidRDefault="00E9385A">
      <w:pPr>
        <w:pStyle w:val="ListParagraph"/>
        <w:numPr>
          <w:ilvl w:val="0"/>
          <w:numId w:val="2"/>
        </w:numPr>
        <w:tabs>
          <w:tab w:val="left" w:pos="462"/>
        </w:tabs>
        <w:spacing w:before="121"/>
        <w:ind w:left="461"/>
      </w:pPr>
      <w:r>
        <w:t>Energy Institute Guidance for a product identification system for petroleum products and</w:t>
      </w:r>
      <w:r>
        <w:rPr>
          <w:spacing w:val="-21"/>
        </w:rPr>
        <w:t xml:space="preserve"> </w:t>
      </w:r>
      <w:r>
        <w:t>other</w:t>
      </w:r>
    </w:p>
    <w:p w14:paraId="1AC529A5" w14:textId="77777777" w:rsidR="007F1254" w:rsidRDefault="00E9385A">
      <w:pPr>
        <w:pStyle w:val="BodyText"/>
        <w:ind w:left="301"/>
      </w:pPr>
      <w:r>
        <w:t>fuels</w:t>
      </w:r>
    </w:p>
    <w:p w14:paraId="18DB6274" w14:textId="77777777" w:rsidR="007F1254" w:rsidRDefault="007F1254">
      <w:pPr>
        <w:sectPr w:rsidR="007F1254">
          <w:pgSz w:w="11910" w:h="16840"/>
          <w:pgMar w:top="1500" w:right="1100" w:bottom="280" w:left="1180" w:header="720" w:footer="720" w:gutter="0"/>
          <w:cols w:space="720"/>
        </w:sectPr>
      </w:pPr>
    </w:p>
    <w:p w14:paraId="335CC8DE" w14:textId="77777777" w:rsidR="007F1254" w:rsidRDefault="00E9385A">
      <w:pPr>
        <w:pStyle w:val="ListParagraph"/>
        <w:numPr>
          <w:ilvl w:val="0"/>
          <w:numId w:val="2"/>
        </w:numPr>
        <w:tabs>
          <w:tab w:val="left" w:pos="462"/>
        </w:tabs>
        <w:spacing w:before="41"/>
        <w:ind w:left="461"/>
      </w:pPr>
      <w:r>
        <w:lastRenderedPageBreak/>
        <w:t>Energy Institute Guidance for the storage and handling of biofuels at filling</w:t>
      </w:r>
      <w:r>
        <w:rPr>
          <w:spacing w:val="-16"/>
        </w:rPr>
        <w:t xml:space="preserve"> </w:t>
      </w:r>
      <w:r>
        <w:t>stations</w:t>
      </w:r>
    </w:p>
    <w:p w14:paraId="0992C67E" w14:textId="77777777" w:rsidR="007F1254" w:rsidRDefault="00E9385A">
      <w:pPr>
        <w:pStyle w:val="ListParagraph"/>
        <w:numPr>
          <w:ilvl w:val="0"/>
          <w:numId w:val="2"/>
        </w:numPr>
        <w:tabs>
          <w:tab w:val="left" w:pos="462"/>
        </w:tabs>
        <w:ind w:left="461"/>
      </w:pPr>
      <w:r>
        <w:t>Energy Institute Guidance on environmental management at filling</w:t>
      </w:r>
      <w:r>
        <w:rPr>
          <w:spacing w:val="-11"/>
        </w:rPr>
        <w:t xml:space="preserve"> </w:t>
      </w:r>
      <w:r>
        <w:t>stations</w:t>
      </w:r>
    </w:p>
    <w:p w14:paraId="5ED57B15" w14:textId="77777777" w:rsidR="007F1254" w:rsidRDefault="00E9385A">
      <w:pPr>
        <w:pStyle w:val="ListParagraph"/>
        <w:numPr>
          <w:ilvl w:val="0"/>
          <w:numId w:val="2"/>
        </w:numPr>
        <w:tabs>
          <w:tab w:val="left" w:pos="462"/>
        </w:tabs>
        <w:spacing w:before="121"/>
        <w:ind w:left="461"/>
      </w:pPr>
      <w:r>
        <w:t>Energy Institute Guidance on inspection and testing of safety critical equipment in retail</w:t>
      </w:r>
      <w:r>
        <w:rPr>
          <w:spacing w:val="-21"/>
        </w:rPr>
        <w:t xml:space="preserve"> </w:t>
      </w:r>
      <w:r>
        <w:t>filling</w:t>
      </w:r>
    </w:p>
    <w:p w14:paraId="3EDFAE05" w14:textId="77777777" w:rsidR="007F1254" w:rsidRDefault="00E9385A">
      <w:pPr>
        <w:pStyle w:val="BodyText"/>
        <w:ind w:left="301"/>
      </w:pPr>
      <w:r>
        <w:t>stations</w:t>
      </w:r>
    </w:p>
    <w:p w14:paraId="2623C40B" w14:textId="77777777" w:rsidR="007F1254" w:rsidRDefault="00E9385A">
      <w:pPr>
        <w:pStyle w:val="ListParagraph"/>
        <w:numPr>
          <w:ilvl w:val="0"/>
          <w:numId w:val="2"/>
        </w:numPr>
        <w:tabs>
          <w:tab w:val="left" w:pos="462"/>
        </w:tabs>
        <w:spacing w:before="118"/>
        <w:ind w:left="461"/>
      </w:pPr>
      <w:r>
        <w:t>Health and Safety Authority (HSA) – Fire and Explosion Risks at Service</w:t>
      </w:r>
      <w:r>
        <w:rPr>
          <w:spacing w:val="-8"/>
        </w:rPr>
        <w:t xml:space="preserve"> </w:t>
      </w:r>
      <w:r>
        <w:t>Stations</w:t>
      </w:r>
    </w:p>
    <w:p w14:paraId="4524A5C0" w14:textId="77777777" w:rsidR="007F1254" w:rsidRDefault="00E9385A">
      <w:pPr>
        <w:pStyle w:val="ListParagraph"/>
        <w:numPr>
          <w:ilvl w:val="0"/>
          <w:numId w:val="2"/>
        </w:numPr>
        <w:tabs>
          <w:tab w:val="left" w:pos="462"/>
        </w:tabs>
        <w:ind w:left="461"/>
      </w:pPr>
      <w:r>
        <w:t>HSA – Emergency Response Plans for Petrol</w:t>
      </w:r>
      <w:r>
        <w:rPr>
          <w:spacing w:val="-8"/>
        </w:rPr>
        <w:t xml:space="preserve"> </w:t>
      </w:r>
      <w:r>
        <w:t>Stations</w:t>
      </w:r>
    </w:p>
    <w:p w14:paraId="29F782BB" w14:textId="77777777" w:rsidR="007F1254" w:rsidRDefault="00E9385A">
      <w:pPr>
        <w:pStyle w:val="ListParagraph"/>
        <w:numPr>
          <w:ilvl w:val="0"/>
          <w:numId w:val="2"/>
        </w:numPr>
        <w:tabs>
          <w:tab w:val="left" w:pos="462"/>
        </w:tabs>
        <w:ind w:left="461"/>
      </w:pPr>
      <w:r>
        <w:t>HSA – Information Note - Handling Petrol</w:t>
      </w:r>
      <w:r>
        <w:rPr>
          <w:spacing w:val="-8"/>
        </w:rPr>
        <w:t xml:space="preserve"> </w:t>
      </w:r>
      <w:r>
        <w:t>Safely</w:t>
      </w:r>
    </w:p>
    <w:p w14:paraId="175EFA75" w14:textId="77777777" w:rsidR="007F1254" w:rsidRDefault="00E9385A">
      <w:pPr>
        <w:pStyle w:val="ListParagraph"/>
        <w:numPr>
          <w:ilvl w:val="0"/>
          <w:numId w:val="2"/>
        </w:numPr>
        <w:tabs>
          <w:tab w:val="left" w:pos="462"/>
        </w:tabs>
        <w:ind w:left="461"/>
      </w:pPr>
      <w:r>
        <w:t xml:space="preserve">HSA – </w:t>
      </w:r>
      <w:proofErr w:type="spellStart"/>
      <w:r>
        <w:t>Wetstock</w:t>
      </w:r>
      <w:proofErr w:type="spellEnd"/>
      <w:r>
        <w:t xml:space="preserve"> reconciliation for petrol</w:t>
      </w:r>
      <w:r>
        <w:rPr>
          <w:spacing w:val="-7"/>
        </w:rPr>
        <w:t xml:space="preserve"> </w:t>
      </w:r>
      <w:r>
        <w:t>stations</w:t>
      </w:r>
    </w:p>
    <w:p w14:paraId="31BB08A9" w14:textId="77777777" w:rsidR="007F1254" w:rsidRDefault="00E9385A">
      <w:pPr>
        <w:pStyle w:val="ListParagraph"/>
        <w:numPr>
          <w:ilvl w:val="0"/>
          <w:numId w:val="2"/>
        </w:numPr>
        <w:tabs>
          <w:tab w:val="left" w:pos="462"/>
        </w:tabs>
        <w:spacing w:before="121"/>
        <w:ind w:left="461"/>
      </w:pPr>
      <w:r>
        <w:t>Health and Safety Executive (HSE) (UK) Portable petrol storage</w:t>
      </w:r>
      <w:r>
        <w:rPr>
          <w:spacing w:val="-7"/>
        </w:rPr>
        <w:t xml:space="preserve"> </w:t>
      </w:r>
      <w:r>
        <w:t>containers</w:t>
      </w:r>
    </w:p>
    <w:p w14:paraId="6F481109" w14:textId="77777777" w:rsidR="007F1254" w:rsidRDefault="00E9385A">
      <w:pPr>
        <w:pStyle w:val="ListParagraph"/>
        <w:numPr>
          <w:ilvl w:val="0"/>
          <w:numId w:val="2"/>
        </w:numPr>
        <w:tabs>
          <w:tab w:val="left" w:pos="462"/>
        </w:tabs>
        <w:ind w:left="461"/>
      </w:pPr>
      <w:r>
        <w:t>Health and Safety Executive (HSE) (UK) L133 Unloading of petrol from road</w:t>
      </w:r>
      <w:r>
        <w:rPr>
          <w:spacing w:val="-12"/>
        </w:rPr>
        <w:t xml:space="preserve"> </w:t>
      </w:r>
      <w:r>
        <w:t>tankers</w:t>
      </w:r>
    </w:p>
    <w:p w14:paraId="3AC277B6" w14:textId="77777777" w:rsidR="007F1254" w:rsidRDefault="007F1254">
      <w:pPr>
        <w:sectPr w:rsidR="007F1254">
          <w:pgSz w:w="11910" w:h="16840"/>
          <w:pgMar w:top="1500" w:right="1100" w:bottom="280" w:left="1180" w:header="720" w:footer="720" w:gutter="0"/>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9403"/>
      </w:tblGrid>
      <w:tr w:rsidR="007F1254" w14:paraId="2DB1AB46" w14:textId="77777777">
        <w:trPr>
          <w:trHeight w:val="2484"/>
        </w:trPr>
        <w:tc>
          <w:tcPr>
            <w:tcW w:w="9403" w:type="dxa"/>
          </w:tcPr>
          <w:p w14:paraId="51775B41" w14:textId="77777777" w:rsidR="007F1254" w:rsidRDefault="00E9385A">
            <w:pPr>
              <w:pStyle w:val="TableParagraph"/>
              <w:spacing w:line="225" w:lineRule="exact"/>
              <w:ind w:left="2170" w:right="2174"/>
              <w:jc w:val="center"/>
              <w:rPr>
                <w:b/>
              </w:rPr>
            </w:pPr>
            <w:r>
              <w:rPr>
                <w:b/>
                <w:w w:val="105"/>
              </w:rPr>
              <w:lastRenderedPageBreak/>
              <w:t xml:space="preserve">SCHEDULE 5 </w:t>
            </w:r>
            <w:r>
              <w:rPr>
                <w:rFonts w:ascii="Trebuchet MS" w:hAnsi="Trebuchet MS"/>
                <w:b/>
                <w:w w:val="105"/>
              </w:rPr>
              <w:t xml:space="preserve">– </w:t>
            </w:r>
            <w:r>
              <w:rPr>
                <w:b/>
                <w:w w:val="105"/>
              </w:rPr>
              <w:t>RISK ASSESSMENT (see Regulation 17)</w:t>
            </w:r>
          </w:p>
          <w:p w14:paraId="6AF4BA28" w14:textId="77777777" w:rsidR="007F1254" w:rsidRDefault="00E9385A">
            <w:pPr>
              <w:pStyle w:val="TableParagraph"/>
              <w:spacing w:before="120"/>
              <w:ind w:left="4184" w:right="270" w:hanging="3915"/>
              <w:jc w:val="both"/>
              <w:rPr>
                <w:i/>
              </w:rPr>
            </w:pPr>
            <w:r>
              <w:rPr>
                <w:i/>
              </w:rPr>
              <w:t xml:space="preserve">Matters to be included in Risk Assessment of a Flammable Liquids and Fuels Retail Store or </w:t>
            </w:r>
            <w:proofErr w:type="spellStart"/>
            <w:r>
              <w:rPr>
                <w:i/>
              </w:rPr>
              <w:t>Kerbside</w:t>
            </w:r>
            <w:proofErr w:type="spellEnd"/>
            <w:r>
              <w:rPr>
                <w:i/>
              </w:rPr>
              <w:t xml:space="preserve"> Retail Store</w:t>
            </w:r>
          </w:p>
          <w:p w14:paraId="49967FCD" w14:textId="77777777" w:rsidR="007F1254" w:rsidRDefault="00E9385A">
            <w:pPr>
              <w:pStyle w:val="TableParagraph"/>
              <w:spacing w:before="121"/>
              <w:ind w:left="200" w:right="197"/>
              <w:jc w:val="both"/>
            </w:pPr>
            <w:r>
              <w:t>The</w:t>
            </w:r>
            <w:r>
              <w:rPr>
                <w:spacing w:val="-3"/>
              </w:rPr>
              <w:t xml:space="preserve"> </w:t>
            </w:r>
            <w:r>
              <w:t>following</w:t>
            </w:r>
            <w:r>
              <w:rPr>
                <w:spacing w:val="-5"/>
              </w:rPr>
              <w:t xml:space="preserve"> </w:t>
            </w:r>
            <w:r>
              <w:t>list</w:t>
            </w:r>
            <w:r>
              <w:rPr>
                <w:spacing w:val="-4"/>
              </w:rPr>
              <w:t xml:space="preserve"> </w:t>
            </w:r>
            <w:r>
              <w:t>is</w:t>
            </w:r>
            <w:r>
              <w:rPr>
                <w:spacing w:val="-3"/>
              </w:rPr>
              <w:t xml:space="preserve"> </w:t>
            </w:r>
            <w:r>
              <w:t>not</w:t>
            </w:r>
            <w:r>
              <w:rPr>
                <w:spacing w:val="-4"/>
              </w:rPr>
              <w:t xml:space="preserve"> </w:t>
            </w:r>
            <w:r>
              <w:t>exhaustive</w:t>
            </w:r>
            <w:r>
              <w:rPr>
                <w:spacing w:val="-3"/>
              </w:rPr>
              <w:t xml:space="preserve"> </w:t>
            </w:r>
            <w:r>
              <w:t>but</w:t>
            </w:r>
            <w:r>
              <w:rPr>
                <w:spacing w:val="-5"/>
              </w:rPr>
              <w:t xml:space="preserve"> </w:t>
            </w:r>
            <w:r>
              <w:t>sets</w:t>
            </w:r>
            <w:r>
              <w:rPr>
                <w:spacing w:val="-3"/>
              </w:rPr>
              <w:t xml:space="preserve"> </w:t>
            </w:r>
            <w:r>
              <w:t>out</w:t>
            </w:r>
            <w:r>
              <w:rPr>
                <w:spacing w:val="-5"/>
              </w:rPr>
              <w:t xml:space="preserve"> </w:t>
            </w:r>
            <w:r>
              <w:t>the</w:t>
            </w:r>
            <w:r>
              <w:rPr>
                <w:spacing w:val="-5"/>
              </w:rPr>
              <w:t xml:space="preserve"> </w:t>
            </w:r>
            <w:r>
              <w:t>minimum</w:t>
            </w:r>
            <w:r>
              <w:rPr>
                <w:spacing w:val="-2"/>
              </w:rPr>
              <w:t xml:space="preserve"> </w:t>
            </w:r>
            <w:r>
              <w:t>aspects,</w:t>
            </w:r>
            <w:r>
              <w:rPr>
                <w:spacing w:val="-2"/>
              </w:rPr>
              <w:t xml:space="preserve"> </w:t>
            </w:r>
            <w:r>
              <w:t>all</w:t>
            </w:r>
            <w:r>
              <w:rPr>
                <w:spacing w:val="-4"/>
              </w:rPr>
              <w:t xml:space="preserve"> </w:t>
            </w:r>
            <w:r>
              <w:t>of</w:t>
            </w:r>
            <w:r>
              <w:rPr>
                <w:spacing w:val="-6"/>
              </w:rPr>
              <w:t xml:space="preserve"> </w:t>
            </w:r>
            <w:r>
              <w:t>which</w:t>
            </w:r>
            <w:r>
              <w:rPr>
                <w:spacing w:val="-3"/>
              </w:rPr>
              <w:t xml:space="preserve"> </w:t>
            </w:r>
            <w:r>
              <w:t>must</w:t>
            </w:r>
            <w:r>
              <w:rPr>
                <w:spacing w:val="-3"/>
              </w:rPr>
              <w:t xml:space="preserve"> </w:t>
            </w:r>
            <w:r>
              <w:t>be</w:t>
            </w:r>
            <w:r>
              <w:rPr>
                <w:spacing w:val="-2"/>
              </w:rPr>
              <w:t xml:space="preserve"> </w:t>
            </w:r>
            <w:r>
              <w:t xml:space="preserve">addressed in any risk assessment to be undertaken by a competent person and submitted to the appropriate licensing authority relating to an application for a first, amended, renewal or transfer of a </w:t>
            </w:r>
            <w:proofErr w:type="spellStart"/>
            <w:r>
              <w:t>licence</w:t>
            </w:r>
            <w:proofErr w:type="spellEnd"/>
            <w:r>
              <w:t xml:space="preserve"> or Certificate</w:t>
            </w:r>
            <w:r>
              <w:rPr>
                <w:spacing w:val="-7"/>
              </w:rPr>
              <w:t xml:space="preserve"> </w:t>
            </w:r>
            <w:r>
              <w:t>of</w:t>
            </w:r>
            <w:r>
              <w:rPr>
                <w:spacing w:val="-8"/>
              </w:rPr>
              <w:t xml:space="preserve"> </w:t>
            </w:r>
            <w:r>
              <w:t>Operation</w:t>
            </w:r>
            <w:r>
              <w:rPr>
                <w:spacing w:val="-5"/>
              </w:rPr>
              <w:t xml:space="preserve"> </w:t>
            </w:r>
            <w:r>
              <w:t>under</w:t>
            </w:r>
            <w:r>
              <w:rPr>
                <w:spacing w:val="-5"/>
              </w:rPr>
              <w:t xml:space="preserve"> </w:t>
            </w:r>
            <w:r>
              <w:t>the</w:t>
            </w:r>
            <w:r>
              <w:rPr>
                <w:spacing w:val="-8"/>
              </w:rPr>
              <w:t xml:space="preserve"> </w:t>
            </w:r>
            <w:r>
              <w:t>Dangerous</w:t>
            </w:r>
            <w:r>
              <w:rPr>
                <w:spacing w:val="-5"/>
              </w:rPr>
              <w:t xml:space="preserve"> </w:t>
            </w:r>
            <w:r>
              <w:t>Substances</w:t>
            </w:r>
            <w:r>
              <w:rPr>
                <w:spacing w:val="-4"/>
              </w:rPr>
              <w:t xml:space="preserve"> </w:t>
            </w:r>
            <w:r>
              <w:t>(Flammable</w:t>
            </w:r>
            <w:r>
              <w:rPr>
                <w:spacing w:val="-8"/>
              </w:rPr>
              <w:t xml:space="preserve"> </w:t>
            </w:r>
            <w:r>
              <w:t>Liquids</w:t>
            </w:r>
            <w:r>
              <w:rPr>
                <w:spacing w:val="-5"/>
              </w:rPr>
              <w:t xml:space="preserve"> </w:t>
            </w:r>
            <w:r>
              <w:t>and</w:t>
            </w:r>
            <w:r>
              <w:rPr>
                <w:spacing w:val="-7"/>
              </w:rPr>
              <w:t xml:space="preserve"> </w:t>
            </w:r>
            <w:r>
              <w:t>Fuels</w:t>
            </w:r>
            <w:r>
              <w:rPr>
                <w:spacing w:val="-5"/>
              </w:rPr>
              <w:t xml:space="preserve"> </w:t>
            </w:r>
            <w:r>
              <w:t>Retail</w:t>
            </w:r>
            <w:r>
              <w:rPr>
                <w:spacing w:val="-6"/>
              </w:rPr>
              <w:t xml:space="preserve"> </w:t>
            </w:r>
            <w:r>
              <w:t>Stores) Regulations,</w:t>
            </w:r>
            <w:r>
              <w:rPr>
                <w:spacing w:val="-3"/>
              </w:rPr>
              <w:t xml:space="preserve"> </w:t>
            </w:r>
            <w:r>
              <w:t>2019.</w:t>
            </w:r>
          </w:p>
        </w:tc>
      </w:tr>
      <w:tr w:rsidR="007F1254" w14:paraId="070C8B57" w14:textId="77777777">
        <w:trPr>
          <w:trHeight w:val="524"/>
        </w:trPr>
        <w:tc>
          <w:tcPr>
            <w:tcW w:w="9403" w:type="dxa"/>
          </w:tcPr>
          <w:p w14:paraId="14046111" w14:textId="77777777" w:rsidR="007F1254" w:rsidRDefault="00E9385A">
            <w:pPr>
              <w:pStyle w:val="TableParagraph"/>
              <w:spacing w:before="100"/>
              <w:ind w:left="560"/>
            </w:pPr>
            <w:r>
              <w:t>1. Spills when filling underground tanks and fuel dispensing to customers</w:t>
            </w:r>
          </w:p>
        </w:tc>
      </w:tr>
      <w:tr w:rsidR="007F1254" w14:paraId="482BC991" w14:textId="77777777">
        <w:trPr>
          <w:trHeight w:val="538"/>
        </w:trPr>
        <w:tc>
          <w:tcPr>
            <w:tcW w:w="9403" w:type="dxa"/>
          </w:tcPr>
          <w:p w14:paraId="074A4AFF" w14:textId="77777777" w:rsidR="007F1254" w:rsidRDefault="00E9385A">
            <w:pPr>
              <w:pStyle w:val="TableParagraph"/>
              <w:spacing w:before="115"/>
              <w:ind w:left="560"/>
            </w:pPr>
            <w:r>
              <w:t>2. Impact and damage to dispensers</w:t>
            </w:r>
          </w:p>
        </w:tc>
      </w:tr>
      <w:tr w:rsidR="007F1254" w14:paraId="0B32285D" w14:textId="77777777">
        <w:trPr>
          <w:trHeight w:val="806"/>
        </w:trPr>
        <w:tc>
          <w:tcPr>
            <w:tcW w:w="9403" w:type="dxa"/>
          </w:tcPr>
          <w:p w14:paraId="52E08A9A" w14:textId="77777777" w:rsidR="007F1254" w:rsidRDefault="00E9385A">
            <w:pPr>
              <w:pStyle w:val="TableParagraph"/>
              <w:spacing w:before="114"/>
              <w:ind w:left="440" w:firstLine="120"/>
            </w:pPr>
            <w:r>
              <w:t>3. Uncontrolled ignition sources (e.g. smoking by non-customers) associated with a public area during fuel dispensing and underground tank filling</w:t>
            </w:r>
          </w:p>
        </w:tc>
      </w:tr>
      <w:tr w:rsidR="007F1254" w14:paraId="13F902D5" w14:textId="77777777">
        <w:trPr>
          <w:trHeight w:val="538"/>
        </w:trPr>
        <w:tc>
          <w:tcPr>
            <w:tcW w:w="9403" w:type="dxa"/>
          </w:tcPr>
          <w:p w14:paraId="1E433946" w14:textId="77777777" w:rsidR="007F1254" w:rsidRDefault="00E9385A">
            <w:pPr>
              <w:pStyle w:val="TableParagraph"/>
              <w:spacing w:before="114"/>
              <w:ind w:left="560"/>
            </w:pPr>
            <w:r>
              <w:t>4. Traffic volume using the road</w:t>
            </w:r>
          </w:p>
        </w:tc>
      </w:tr>
      <w:tr w:rsidR="007F1254" w14:paraId="1C4101D4" w14:textId="77777777">
        <w:trPr>
          <w:trHeight w:val="538"/>
        </w:trPr>
        <w:tc>
          <w:tcPr>
            <w:tcW w:w="9403" w:type="dxa"/>
          </w:tcPr>
          <w:p w14:paraId="52EE5508" w14:textId="77777777" w:rsidR="007F1254" w:rsidRDefault="00E9385A">
            <w:pPr>
              <w:pStyle w:val="TableParagraph"/>
              <w:spacing w:before="115"/>
              <w:ind w:left="560"/>
            </w:pPr>
            <w:r>
              <w:t>5. Speed of vehicles on adjacent roadway</w:t>
            </w:r>
          </w:p>
        </w:tc>
      </w:tr>
      <w:tr w:rsidR="007F1254" w14:paraId="028D158A" w14:textId="77777777">
        <w:trPr>
          <w:trHeight w:val="537"/>
        </w:trPr>
        <w:tc>
          <w:tcPr>
            <w:tcW w:w="9403" w:type="dxa"/>
          </w:tcPr>
          <w:p w14:paraId="04EFE767" w14:textId="77777777" w:rsidR="007F1254" w:rsidRDefault="00E9385A">
            <w:pPr>
              <w:pStyle w:val="TableParagraph"/>
              <w:spacing w:before="114"/>
              <w:ind w:left="560"/>
            </w:pPr>
            <w:r>
              <w:t>6. Pedestrian movements on the footpath</w:t>
            </w:r>
          </w:p>
        </w:tc>
      </w:tr>
      <w:tr w:rsidR="007F1254" w14:paraId="40BFB786" w14:textId="77777777">
        <w:trPr>
          <w:trHeight w:val="538"/>
        </w:trPr>
        <w:tc>
          <w:tcPr>
            <w:tcW w:w="9403" w:type="dxa"/>
          </w:tcPr>
          <w:p w14:paraId="79800EAB" w14:textId="77777777" w:rsidR="007F1254" w:rsidRDefault="00E9385A">
            <w:pPr>
              <w:pStyle w:val="TableParagraph"/>
              <w:spacing w:before="114"/>
              <w:ind w:left="560"/>
            </w:pPr>
            <w:r>
              <w:t>7. Fuel delivery frequency and time</w:t>
            </w:r>
          </w:p>
        </w:tc>
      </w:tr>
      <w:tr w:rsidR="007F1254" w14:paraId="44BC1197" w14:textId="77777777">
        <w:trPr>
          <w:trHeight w:val="538"/>
        </w:trPr>
        <w:tc>
          <w:tcPr>
            <w:tcW w:w="9403" w:type="dxa"/>
          </w:tcPr>
          <w:p w14:paraId="15F074C3" w14:textId="77777777" w:rsidR="007F1254" w:rsidRDefault="00E9385A">
            <w:pPr>
              <w:pStyle w:val="TableParagraph"/>
              <w:spacing w:before="115"/>
              <w:ind w:left="560"/>
            </w:pPr>
            <w:r>
              <w:t>8. Age and condition of the underground fuel tanks</w:t>
            </w:r>
          </w:p>
        </w:tc>
      </w:tr>
      <w:tr w:rsidR="007F1254" w14:paraId="39A5319D" w14:textId="77777777">
        <w:trPr>
          <w:trHeight w:val="538"/>
        </w:trPr>
        <w:tc>
          <w:tcPr>
            <w:tcW w:w="9403" w:type="dxa"/>
          </w:tcPr>
          <w:p w14:paraId="7DFBA2E5" w14:textId="77777777" w:rsidR="007F1254" w:rsidRDefault="00E9385A">
            <w:pPr>
              <w:pStyle w:val="TableParagraph"/>
              <w:spacing w:before="114"/>
              <w:ind w:left="560"/>
            </w:pPr>
            <w:r>
              <w:t>9. Nature of fuels stored</w:t>
            </w:r>
          </w:p>
        </w:tc>
      </w:tr>
      <w:tr w:rsidR="007F1254" w14:paraId="23C244D8" w14:textId="77777777">
        <w:trPr>
          <w:trHeight w:val="538"/>
        </w:trPr>
        <w:tc>
          <w:tcPr>
            <w:tcW w:w="9403" w:type="dxa"/>
          </w:tcPr>
          <w:p w14:paraId="116D28C8" w14:textId="77777777" w:rsidR="007F1254" w:rsidRDefault="00E9385A">
            <w:pPr>
              <w:pStyle w:val="TableParagraph"/>
              <w:spacing w:before="116"/>
              <w:ind w:left="560"/>
            </w:pPr>
            <w:r>
              <w:t>10. Separation distances from boundaries and stationery ignition sources</w:t>
            </w:r>
          </w:p>
        </w:tc>
      </w:tr>
      <w:tr w:rsidR="007F1254" w14:paraId="6880D32F" w14:textId="77777777">
        <w:trPr>
          <w:trHeight w:val="537"/>
        </w:trPr>
        <w:tc>
          <w:tcPr>
            <w:tcW w:w="9403" w:type="dxa"/>
          </w:tcPr>
          <w:p w14:paraId="6ED7D12E" w14:textId="77777777" w:rsidR="007F1254" w:rsidRDefault="00E9385A">
            <w:pPr>
              <w:pStyle w:val="TableParagraph"/>
              <w:spacing w:before="114"/>
              <w:ind w:left="560"/>
            </w:pPr>
            <w:r>
              <w:t>11. Sensitive receptors in the vicinity of the store</w:t>
            </w:r>
          </w:p>
        </w:tc>
      </w:tr>
      <w:tr w:rsidR="007F1254" w14:paraId="003627BF" w14:textId="77777777">
        <w:trPr>
          <w:trHeight w:val="538"/>
        </w:trPr>
        <w:tc>
          <w:tcPr>
            <w:tcW w:w="9403" w:type="dxa"/>
          </w:tcPr>
          <w:p w14:paraId="3132AD7B" w14:textId="77777777" w:rsidR="007F1254" w:rsidRDefault="00E9385A">
            <w:pPr>
              <w:pStyle w:val="TableParagraph"/>
              <w:spacing w:before="114"/>
              <w:ind w:left="560"/>
            </w:pPr>
            <w:r>
              <w:t>12. Delivery area assessment</w:t>
            </w:r>
          </w:p>
        </w:tc>
      </w:tr>
      <w:tr w:rsidR="007F1254" w14:paraId="58E32203" w14:textId="77777777">
        <w:trPr>
          <w:trHeight w:val="538"/>
        </w:trPr>
        <w:tc>
          <w:tcPr>
            <w:tcW w:w="9403" w:type="dxa"/>
          </w:tcPr>
          <w:p w14:paraId="389F789E" w14:textId="77777777" w:rsidR="007F1254" w:rsidRDefault="00E9385A">
            <w:pPr>
              <w:pStyle w:val="TableParagraph"/>
              <w:spacing w:before="115"/>
              <w:ind w:left="560"/>
            </w:pPr>
            <w:r>
              <w:t>13. Storage tanks assessment</w:t>
            </w:r>
          </w:p>
        </w:tc>
      </w:tr>
      <w:tr w:rsidR="007F1254" w14:paraId="401051E5" w14:textId="77777777">
        <w:trPr>
          <w:trHeight w:val="538"/>
        </w:trPr>
        <w:tc>
          <w:tcPr>
            <w:tcW w:w="9403" w:type="dxa"/>
          </w:tcPr>
          <w:p w14:paraId="1C9CA270" w14:textId="77777777" w:rsidR="007F1254" w:rsidRDefault="00E9385A">
            <w:pPr>
              <w:pStyle w:val="TableParagraph"/>
              <w:spacing w:before="114"/>
              <w:ind w:left="560"/>
            </w:pPr>
            <w:r>
              <w:t>14. Pipework assessment</w:t>
            </w:r>
          </w:p>
        </w:tc>
      </w:tr>
      <w:tr w:rsidR="007F1254" w14:paraId="3FEDA215" w14:textId="77777777">
        <w:trPr>
          <w:trHeight w:val="598"/>
        </w:trPr>
        <w:tc>
          <w:tcPr>
            <w:tcW w:w="9403" w:type="dxa"/>
          </w:tcPr>
          <w:p w14:paraId="4D22824D" w14:textId="77777777" w:rsidR="007F1254" w:rsidRDefault="00E9385A">
            <w:pPr>
              <w:pStyle w:val="TableParagraph"/>
              <w:spacing w:before="115"/>
              <w:ind w:left="560"/>
            </w:pPr>
            <w:r>
              <w:t>15. Dispenser area assessment</w:t>
            </w:r>
          </w:p>
        </w:tc>
      </w:tr>
      <w:tr w:rsidR="007F1254" w14:paraId="50C598F4" w14:textId="77777777">
        <w:trPr>
          <w:trHeight w:val="597"/>
        </w:trPr>
        <w:tc>
          <w:tcPr>
            <w:tcW w:w="9403" w:type="dxa"/>
          </w:tcPr>
          <w:p w14:paraId="1A6FDEDE" w14:textId="77777777" w:rsidR="007F1254" w:rsidRDefault="00E9385A">
            <w:pPr>
              <w:pStyle w:val="TableParagraph"/>
              <w:spacing w:before="174"/>
              <w:ind w:left="440"/>
            </w:pPr>
            <w:r>
              <w:t>Certificates and other mandatory documents:</w:t>
            </w:r>
          </w:p>
        </w:tc>
      </w:tr>
      <w:tr w:rsidR="007F1254" w14:paraId="07A0C98C" w14:textId="77777777">
        <w:trPr>
          <w:trHeight w:val="539"/>
        </w:trPr>
        <w:tc>
          <w:tcPr>
            <w:tcW w:w="9403" w:type="dxa"/>
          </w:tcPr>
          <w:p w14:paraId="4789AC38" w14:textId="77777777" w:rsidR="007F1254" w:rsidRDefault="00E9385A">
            <w:pPr>
              <w:pStyle w:val="TableParagraph"/>
              <w:spacing w:before="115"/>
              <w:ind w:left="799"/>
            </w:pPr>
            <w:r>
              <w:t xml:space="preserve">a. Petrol </w:t>
            </w:r>
            <w:proofErr w:type="spellStart"/>
            <w:r>
              <w:t>Vapour</w:t>
            </w:r>
            <w:proofErr w:type="spellEnd"/>
            <w:r>
              <w:t xml:space="preserve"> Recovery Certificate;</w:t>
            </w:r>
          </w:p>
        </w:tc>
      </w:tr>
      <w:tr w:rsidR="007F1254" w14:paraId="1EEF3A5D" w14:textId="77777777">
        <w:trPr>
          <w:trHeight w:val="538"/>
        </w:trPr>
        <w:tc>
          <w:tcPr>
            <w:tcW w:w="9403" w:type="dxa"/>
          </w:tcPr>
          <w:p w14:paraId="3E60B43C" w14:textId="77777777" w:rsidR="007F1254" w:rsidRDefault="00E9385A">
            <w:pPr>
              <w:pStyle w:val="TableParagraph"/>
              <w:spacing w:before="115"/>
              <w:ind w:left="799"/>
            </w:pPr>
            <w:r>
              <w:t>b. Explosion Protection Document;</w:t>
            </w:r>
          </w:p>
        </w:tc>
      </w:tr>
      <w:tr w:rsidR="007F1254" w14:paraId="19A1AEB7" w14:textId="77777777">
        <w:trPr>
          <w:trHeight w:val="538"/>
        </w:trPr>
        <w:tc>
          <w:tcPr>
            <w:tcW w:w="9403" w:type="dxa"/>
          </w:tcPr>
          <w:p w14:paraId="5A9ED015" w14:textId="77777777" w:rsidR="007F1254" w:rsidRDefault="00E9385A">
            <w:pPr>
              <w:pStyle w:val="TableParagraph"/>
              <w:spacing w:before="114"/>
              <w:ind w:left="799"/>
            </w:pPr>
            <w:r>
              <w:t>c. Electrical Safety Certificate; and</w:t>
            </w:r>
          </w:p>
        </w:tc>
      </w:tr>
      <w:tr w:rsidR="007F1254" w14:paraId="3FD44680" w14:textId="77777777">
        <w:trPr>
          <w:trHeight w:val="380"/>
        </w:trPr>
        <w:tc>
          <w:tcPr>
            <w:tcW w:w="9403" w:type="dxa"/>
          </w:tcPr>
          <w:p w14:paraId="6AB86A56" w14:textId="77777777" w:rsidR="007F1254" w:rsidRDefault="00E9385A">
            <w:pPr>
              <w:pStyle w:val="TableParagraph"/>
              <w:spacing w:before="115" w:line="245" w:lineRule="exact"/>
              <w:ind w:left="799"/>
            </w:pPr>
            <w:r>
              <w:t>d. Fire Safety Certificate.</w:t>
            </w:r>
          </w:p>
        </w:tc>
      </w:tr>
    </w:tbl>
    <w:p w14:paraId="4DA16D7F" w14:textId="77777777" w:rsidR="007F1254" w:rsidRDefault="007F1254">
      <w:pPr>
        <w:spacing w:line="245" w:lineRule="exact"/>
        <w:sectPr w:rsidR="007F1254">
          <w:pgSz w:w="11910" w:h="16840"/>
          <w:pgMar w:top="1580" w:right="1100" w:bottom="280" w:left="1180" w:header="720" w:footer="720" w:gutter="0"/>
          <w:cols w:space="720"/>
        </w:sectPr>
      </w:pPr>
    </w:p>
    <w:p w14:paraId="44F2888A" w14:textId="77777777" w:rsidR="007F1254" w:rsidRDefault="007F1254">
      <w:pPr>
        <w:pStyle w:val="BodyText"/>
        <w:spacing w:before="3"/>
        <w:rPr>
          <w:sz w:val="10"/>
        </w:rPr>
      </w:pPr>
    </w:p>
    <w:tbl>
      <w:tblPr>
        <w:tblW w:w="0" w:type="auto"/>
        <w:tblInd w:w="348" w:type="dxa"/>
        <w:tblLayout w:type="fixed"/>
        <w:tblCellMar>
          <w:left w:w="0" w:type="dxa"/>
          <w:right w:w="0" w:type="dxa"/>
        </w:tblCellMar>
        <w:tblLook w:val="01E0" w:firstRow="1" w:lastRow="1" w:firstColumn="1" w:lastColumn="1" w:noHBand="0" w:noVBand="0"/>
      </w:tblPr>
      <w:tblGrid>
        <w:gridCol w:w="9166"/>
      </w:tblGrid>
      <w:tr w:rsidR="007F1254" w14:paraId="17508B60" w14:textId="77777777">
        <w:trPr>
          <w:trHeight w:val="439"/>
        </w:trPr>
        <w:tc>
          <w:tcPr>
            <w:tcW w:w="9166" w:type="dxa"/>
          </w:tcPr>
          <w:p w14:paraId="276CE316" w14:textId="77777777" w:rsidR="007F1254" w:rsidRDefault="00E9385A">
            <w:pPr>
              <w:pStyle w:val="TableParagraph"/>
              <w:spacing w:line="225" w:lineRule="exact"/>
              <w:ind w:left="2787" w:right="3029"/>
              <w:jc w:val="center"/>
              <w:rPr>
                <w:b/>
              </w:rPr>
            </w:pPr>
            <w:r>
              <w:rPr>
                <w:b/>
                <w:w w:val="105"/>
              </w:rPr>
              <w:t xml:space="preserve">SCHEDULE 6 </w:t>
            </w:r>
            <w:r>
              <w:rPr>
                <w:rFonts w:ascii="Trebuchet MS" w:hAnsi="Trebuchet MS"/>
                <w:b/>
                <w:w w:val="105"/>
              </w:rPr>
              <w:t xml:space="preserve">– </w:t>
            </w:r>
            <w:r>
              <w:rPr>
                <w:b/>
                <w:w w:val="105"/>
              </w:rPr>
              <w:t>MAPS &amp; DRAWINGS</w:t>
            </w:r>
          </w:p>
        </w:tc>
      </w:tr>
      <w:tr w:rsidR="007F1254" w14:paraId="75BD9096" w14:textId="77777777">
        <w:trPr>
          <w:trHeight w:val="927"/>
        </w:trPr>
        <w:tc>
          <w:tcPr>
            <w:tcW w:w="9166" w:type="dxa"/>
          </w:tcPr>
          <w:p w14:paraId="07FFA730" w14:textId="77777777" w:rsidR="007F1254" w:rsidRDefault="00E9385A">
            <w:pPr>
              <w:pStyle w:val="TableParagraph"/>
              <w:spacing w:before="174"/>
              <w:ind w:left="1577" w:right="688" w:hanging="1121"/>
              <w:rPr>
                <w:i/>
              </w:rPr>
            </w:pPr>
            <w:r>
              <w:rPr>
                <w:i/>
              </w:rPr>
              <w:t xml:space="preserve">Matters to be Included in the Maps and Drawings Accompanying the Risk Assessment of a Flammable Liquids and Fuels Retail Store or </w:t>
            </w:r>
            <w:proofErr w:type="spellStart"/>
            <w:r>
              <w:rPr>
                <w:i/>
              </w:rPr>
              <w:t>Kerbside</w:t>
            </w:r>
            <w:proofErr w:type="spellEnd"/>
            <w:r>
              <w:rPr>
                <w:i/>
              </w:rPr>
              <w:t xml:space="preserve"> Retail Store</w:t>
            </w:r>
          </w:p>
        </w:tc>
      </w:tr>
      <w:tr w:rsidR="007F1254" w14:paraId="0CFA06B2" w14:textId="77777777">
        <w:trPr>
          <w:trHeight w:val="1940"/>
        </w:trPr>
        <w:tc>
          <w:tcPr>
            <w:tcW w:w="9166" w:type="dxa"/>
          </w:tcPr>
          <w:p w14:paraId="0460B485" w14:textId="77777777" w:rsidR="007F1254" w:rsidRDefault="00E9385A">
            <w:pPr>
              <w:pStyle w:val="TableParagraph"/>
              <w:spacing w:before="175"/>
              <w:ind w:left="200" w:right="200" w:firstLine="120"/>
              <w:jc w:val="both"/>
            </w:pPr>
            <w:r>
              <w:t xml:space="preserve">(1) Every risk assessment for a first </w:t>
            </w:r>
            <w:proofErr w:type="spellStart"/>
            <w:r>
              <w:t>licence</w:t>
            </w:r>
            <w:proofErr w:type="spellEnd"/>
            <w:r>
              <w:t xml:space="preserve"> or Certificate of Operation (or for the renewal of a </w:t>
            </w:r>
            <w:proofErr w:type="spellStart"/>
            <w:r>
              <w:t>licence</w:t>
            </w:r>
            <w:proofErr w:type="spellEnd"/>
            <w:r>
              <w:t xml:space="preserve"> or Certificate of Operation where major works have taken place) shall be accompanied by a plan (either in electronic format or hard copy) drawn to a scale in metric units of measurement of</w:t>
            </w:r>
            <w:r>
              <w:rPr>
                <w:spacing w:val="-11"/>
              </w:rPr>
              <w:t xml:space="preserve"> </w:t>
            </w:r>
            <w:r>
              <w:t>not</w:t>
            </w:r>
            <w:r>
              <w:rPr>
                <w:spacing w:val="-10"/>
              </w:rPr>
              <w:t xml:space="preserve"> </w:t>
            </w:r>
            <w:r>
              <w:t>less</w:t>
            </w:r>
            <w:r>
              <w:rPr>
                <w:spacing w:val="-9"/>
              </w:rPr>
              <w:t xml:space="preserve"> </w:t>
            </w:r>
            <w:r>
              <w:t>than</w:t>
            </w:r>
            <w:r>
              <w:rPr>
                <w:spacing w:val="-11"/>
              </w:rPr>
              <w:t xml:space="preserve"> </w:t>
            </w:r>
            <w:r>
              <w:t>1:2500,</w:t>
            </w:r>
            <w:r>
              <w:rPr>
                <w:spacing w:val="-9"/>
              </w:rPr>
              <w:t xml:space="preserve"> </w:t>
            </w:r>
            <w:r>
              <w:t>consisting</w:t>
            </w:r>
            <w:r>
              <w:rPr>
                <w:spacing w:val="-11"/>
              </w:rPr>
              <w:t xml:space="preserve"> </w:t>
            </w:r>
            <w:r>
              <w:t>of</w:t>
            </w:r>
            <w:r>
              <w:rPr>
                <w:spacing w:val="-10"/>
              </w:rPr>
              <w:t xml:space="preserve"> </w:t>
            </w:r>
            <w:r>
              <w:t>an</w:t>
            </w:r>
            <w:r>
              <w:rPr>
                <w:spacing w:val="-11"/>
              </w:rPr>
              <w:t xml:space="preserve"> </w:t>
            </w:r>
            <w:r>
              <w:t>extract</w:t>
            </w:r>
            <w:r>
              <w:rPr>
                <w:spacing w:val="-9"/>
              </w:rPr>
              <w:t xml:space="preserve"> </w:t>
            </w:r>
            <w:r>
              <w:t>from</w:t>
            </w:r>
            <w:r>
              <w:rPr>
                <w:spacing w:val="-12"/>
              </w:rPr>
              <w:t xml:space="preserve"> </w:t>
            </w:r>
            <w:r>
              <w:t>the</w:t>
            </w:r>
            <w:r>
              <w:rPr>
                <w:spacing w:val="-9"/>
              </w:rPr>
              <w:t xml:space="preserve"> </w:t>
            </w:r>
            <w:r>
              <w:t>Ordnance</w:t>
            </w:r>
            <w:r>
              <w:rPr>
                <w:spacing w:val="-10"/>
              </w:rPr>
              <w:t xml:space="preserve"> </w:t>
            </w:r>
            <w:r>
              <w:t>Survey</w:t>
            </w:r>
            <w:r>
              <w:rPr>
                <w:spacing w:val="-11"/>
              </w:rPr>
              <w:t xml:space="preserve"> </w:t>
            </w:r>
            <w:r>
              <w:t>map</w:t>
            </w:r>
            <w:r>
              <w:rPr>
                <w:spacing w:val="-11"/>
              </w:rPr>
              <w:t xml:space="preserve"> </w:t>
            </w:r>
            <w:r>
              <w:t>(or</w:t>
            </w:r>
            <w:r>
              <w:rPr>
                <w:spacing w:val="-12"/>
              </w:rPr>
              <w:t xml:space="preserve"> </w:t>
            </w:r>
            <w:r>
              <w:t>tracing</w:t>
            </w:r>
            <w:r>
              <w:rPr>
                <w:spacing w:val="-11"/>
              </w:rPr>
              <w:t xml:space="preserve"> </w:t>
            </w:r>
            <w:r>
              <w:t>thereof). The</w:t>
            </w:r>
            <w:r>
              <w:rPr>
                <w:spacing w:val="-10"/>
              </w:rPr>
              <w:t xml:space="preserve"> </w:t>
            </w:r>
            <w:r>
              <w:t>plan</w:t>
            </w:r>
            <w:r>
              <w:rPr>
                <w:spacing w:val="-12"/>
              </w:rPr>
              <w:t xml:space="preserve"> </w:t>
            </w:r>
            <w:r>
              <w:t>should</w:t>
            </w:r>
            <w:r>
              <w:rPr>
                <w:spacing w:val="-12"/>
              </w:rPr>
              <w:t xml:space="preserve"> </w:t>
            </w:r>
            <w:r>
              <w:t>be</w:t>
            </w:r>
            <w:r>
              <w:rPr>
                <w:spacing w:val="-10"/>
              </w:rPr>
              <w:t xml:space="preserve"> </w:t>
            </w:r>
            <w:r>
              <w:t>marked</w:t>
            </w:r>
            <w:r>
              <w:rPr>
                <w:spacing w:val="-12"/>
              </w:rPr>
              <w:t xml:space="preserve"> </w:t>
            </w:r>
            <w:r>
              <w:t>and</w:t>
            </w:r>
            <w:r>
              <w:rPr>
                <w:spacing w:val="-11"/>
              </w:rPr>
              <w:t xml:space="preserve"> </w:t>
            </w:r>
            <w:proofErr w:type="spellStart"/>
            <w:r>
              <w:t>coloured</w:t>
            </w:r>
            <w:proofErr w:type="spellEnd"/>
            <w:r>
              <w:rPr>
                <w:spacing w:val="-10"/>
              </w:rPr>
              <w:t xml:space="preserve"> </w:t>
            </w:r>
            <w:proofErr w:type="gramStart"/>
            <w:r>
              <w:t>so</w:t>
            </w:r>
            <w:r>
              <w:rPr>
                <w:spacing w:val="-9"/>
              </w:rPr>
              <w:t xml:space="preserve"> </w:t>
            </w:r>
            <w:r>
              <w:t>as</w:t>
            </w:r>
            <w:r>
              <w:rPr>
                <w:spacing w:val="-12"/>
              </w:rPr>
              <w:t xml:space="preserve"> </w:t>
            </w:r>
            <w:r>
              <w:t>to</w:t>
            </w:r>
            <w:proofErr w:type="gramEnd"/>
            <w:r>
              <w:rPr>
                <w:spacing w:val="-9"/>
              </w:rPr>
              <w:t xml:space="preserve"> </w:t>
            </w:r>
            <w:r>
              <w:t>identify</w:t>
            </w:r>
            <w:r>
              <w:rPr>
                <w:spacing w:val="-10"/>
              </w:rPr>
              <w:t xml:space="preserve"> </w:t>
            </w:r>
            <w:r>
              <w:t>clearly</w:t>
            </w:r>
            <w:r>
              <w:rPr>
                <w:spacing w:val="-10"/>
              </w:rPr>
              <w:t xml:space="preserve"> </w:t>
            </w:r>
            <w:r>
              <w:t>the</w:t>
            </w:r>
            <w:r>
              <w:rPr>
                <w:spacing w:val="-9"/>
              </w:rPr>
              <w:t xml:space="preserve"> </w:t>
            </w:r>
            <w:r>
              <w:t>site</w:t>
            </w:r>
            <w:r>
              <w:rPr>
                <w:spacing w:val="-12"/>
              </w:rPr>
              <w:t xml:space="preserve"> </w:t>
            </w:r>
            <w:r>
              <w:t>or</w:t>
            </w:r>
            <w:r>
              <w:rPr>
                <w:spacing w:val="-10"/>
              </w:rPr>
              <w:t xml:space="preserve"> </w:t>
            </w:r>
            <w:r>
              <w:t>proposed</w:t>
            </w:r>
            <w:r>
              <w:rPr>
                <w:spacing w:val="-10"/>
              </w:rPr>
              <w:t xml:space="preserve"> </w:t>
            </w:r>
            <w:r>
              <w:t>site</w:t>
            </w:r>
            <w:r>
              <w:rPr>
                <w:spacing w:val="-10"/>
              </w:rPr>
              <w:t xml:space="preserve"> </w:t>
            </w:r>
            <w:r>
              <w:t xml:space="preserve">(including the boundaries which shall be marked in red) of the retail store or </w:t>
            </w:r>
            <w:proofErr w:type="spellStart"/>
            <w:r>
              <w:t>kerbside</w:t>
            </w:r>
            <w:proofErr w:type="spellEnd"/>
            <w:r>
              <w:t xml:space="preserve"> retail</w:t>
            </w:r>
            <w:r>
              <w:rPr>
                <w:spacing w:val="-25"/>
              </w:rPr>
              <w:t xml:space="preserve"> </w:t>
            </w:r>
            <w:r>
              <w:t>store.</w:t>
            </w:r>
          </w:p>
        </w:tc>
      </w:tr>
      <w:tr w:rsidR="007F1254" w14:paraId="112BEEF4" w14:textId="77777777">
        <w:trPr>
          <w:trHeight w:val="807"/>
        </w:trPr>
        <w:tc>
          <w:tcPr>
            <w:tcW w:w="9166" w:type="dxa"/>
          </w:tcPr>
          <w:p w14:paraId="6EDF8CDD" w14:textId="77777777" w:rsidR="007F1254" w:rsidRDefault="00E9385A">
            <w:pPr>
              <w:pStyle w:val="TableParagraph"/>
              <w:spacing w:before="114"/>
              <w:ind w:left="200" w:right="190" w:firstLine="120"/>
            </w:pPr>
            <w:r>
              <w:t>(2) Every plan submitted in accordance with paragraph (1) of this Schedule shall be accompanied by:</w:t>
            </w:r>
          </w:p>
        </w:tc>
      </w:tr>
      <w:tr w:rsidR="007F1254" w14:paraId="4734AEBA" w14:textId="77777777">
        <w:trPr>
          <w:trHeight w:val="807"/>
        </w:trPr>
        <w:tc>
          <w:tcPr>
            <w:tcW w:w="9166" w:type="dxa"/>
          </w:tcPr>
          <w:p w14:paraId="5D7AB312" w14:textId="77777777" w:rsidR="007F1254" w:rsidRDefault="00E9385A">
            <w:pPr>
              <w:pStyle w:val="TableParagraph"/>
              <w:spacing w:before="116"/>
              <w:ind w:left="320" w:right="190" w:firstLine="239"/>
            </w:pPr>
            <w:r>
              <w:t xml:space="preserve">a. one site plan (either in electronic format or hard copy) in metric units of measurement of not less than 1:100 so marked and </w:t>
            </w:r>
            <w:proofErr w:type="spellStart"/>
            <w:r>
              <w:t>coloured</w:t>
            </w:r>
            <w:proofErr w:type="spellEnd"/>
            <w:r>
              <w:t xml:space="preserve"> </w:t>
            </w:r>
            <w:proofErr w:type="gramStart"/>
            <w:r>
              <w:t>so as to</w:t>
            </w:r>
            <w:proofErr w:type="gramEnd"/>
            <w:r>
              <w:t xml:space="preserve"> identify clearly:</w:t>
            </w:r>
          </w:p>
        </w:tc>
      </w:tr>
      <w:tr w:rsidR="007F1254" w14:paraId="23AEDB21" w14:textId="77777777">
        <w:trPr>
          <w:trHeight w:val="806"/>
        </w:trPr>
        <w:tc>
          <w:tcPr>
            <w:tcW w:w="9166" w:type="dxa"/>
          </w:tcPr>
          <w:p w14:paraId="4B1FF2B5" w14:textId="77777777" w:rsidR="007F1254" w:rsidRDefault="00E9385A">
            <w:pPr>
              <w:pStyle w:val="TableParagraph"/>
              <w:spacing w:before="114"/>
              <w:ind w:left="440" w:right="190" w:firstLine="359"/>
            </w:pPr>
            <w:proofErr w:type="spellStart"/>
            <w:r>
              <w:t>i</w:t>
            </w:r>
            <w:proofErr w:type="spellEnd"/>
            <w:r>
              <w:t>. each underground storage tank, each pipeline or dispensing pump connected to such a tank and each container store or container compound; and</w:t>
            </w:r>
          </w:p>
        </w:tc>
      </w:tr>
      <w:tr w:rsidR="007F1254" w14:paraId="117FB993" w14:textId="77777777">
        <w:trPr>
          <w:trHeight w:val="1076"/>
        </w:trPr>
        <w:tc>
          <w:tcPr>
            <w:tcW w:w="9166" w:type="dxa"/>
          </w:tcPr>
          <w:p w14:paraId="06193E82" w14:textId="77777777" w:rsidR="007F1254" w:rsidRDefault="00E9385A">
            <w:pPr>
              <w:pStyle w:val="TableParagraph"/>
              <w:spacing w:before="114"/>
              <w:ind w:left="440" w:right="204" w:firstLine="359"/>
              <w:jc w:val="both"/>
            </w:pPr>
            <w:r>
              <w:t xml:space="preserve">ii. all other buildings or structures (including cellars or basements) within </w:t>
            </w:r>
            <w:proofErr w:type="gramStart"/>
            <w:r>
              <w:t>a distance of 16</w:t>
            </w:r>
            <w:proofErr w:type="gramEnd"/>
            <w:r>
              <w:t xml:space="preserve"> </w:t>
            </w:r>
            <w:proofErr w:type="spellStart"/>
            <w:r>
              <w:t>metres</w:t>
            </w:r>
            <w:proofErr w:type="spellEnd"/>
            <w:r>
              <w:rPr>
                <w:spacing w:val="-4"/>
              </w:rPr>
              <w:t xml:space="preserve"> </w:t>
            </w:r>
            <w:r>
              <w:t>of</w:t>
            </w:r>
            <w:r>
              <w:rPr>
                <w:spacing w:val="-5"/>
              </w:rPr>
              <w:t xml:space="preserve"> </w:t>
            </w:r>
            <w:r>
              <w:t>each</w:t>
            </w:r>
            <w:r>
              <w:rPr>
                <w:spacing w:val="-2"/>
              </w:rPr>
              <w:t xml:space="preserve"> </w:t>
            </w:r>
            <w:r>
              <w:t>underground</w:t>
            </w:r>
            <w:r>
              <w:rPr>
                <w:spacing w:val="-3"/>
              </w:rPr>
              <w:t xml:space="preserve"> </w:t>
            </w:r>
            <w:r>
              <w:t>storage</w:t>
            </w:r>
            <w:r>
              <w:rPr>
                <w:spacing w:val="-4"/>
              </w:rPr>
              <w:t xml:space="preserve"> </w:t>
            </w:r>
            <w:r>
              <w:t>tank,</w:t>
            </w:r>
            <w:r>
              <w:rPr>
                <w:spacing w:val="-4"/>
              </w:rPr>
              <w:t xml:space="preserve"> </w:t>
            </w:r>
            <w:r>
              <w:t>offset</w:t>
            </w:r>
            <w:r>
              <w:rPr>
                <w:spacing w:val="-4"/>
              </w:rPr>
              <w:t xml:space="preserve"> </w:t>
            </w:r>
            <w:r>
              <w:t>filling</w:t>
            </w:r>
            <w:r>
              <w:rPr>
                <w:spacing w:val="-3"/>
              </w:rPr>
              <w:t xml:space="preserve"> </w:t>
            </w:r>
            <w:r>
              <w:t>point,</w:t>
            </w:r>
            <w:r>
              <w:rPr>
                <w:spacing w:val="-4"/>
              </w:rPr>
              <w:t xml:space="preserve"> </w:t>
            </w:r>
            <w:r>
              <w:t>dispensing</w:t>
            </w:r>
            <w:r>
              <w:rPr>
                <w:spacing w:val="-2"/>
              </w:rPr>
              <w:t xml:space="preserve"> </w:t>
            </w:r>
            <w:r>
              <w:t>pump,</w:t>
            </w:r>
            <w:r>
              <w:rPr>
                <w:spacing w:val="-4"/>
              </w:rPr>
              <w:t xml:space="preserve"> </w:t>
            </w:r>
            <w:r>
              <w:t>ventilating</w:t>
            </w:r>
            <w:r>
              <w:rPr>
                <w:spacing w:val="-3"/>
              </w:rPr>
              <w:t xml:space="preserve"> </w:t>
            </w:r>
            <w:r>
              <w:t>pipe opening, container store or container</w:t>
            </w:r>
            <w:r>
              <w:rPr>
                <w:spacing w:val="-8"/>
              </w:rPr>
              <w:t xml:space="preserve"> </w:t>
            </w:r>
            <w:r>
              <w:t>compound;</w:t>
            </w:r>
          </w:p>
        </w:tc>
      </w:tr>
      <w:tr w:rsidR="007F1254" w14:paraId="31AF3519" w14:textId="77777777">
        <w:trPr>
          <w:trHeight w:val="1880"/>
        </w:trPr>
        <w:tc>
          <w:tcPr>
            <w:tcW w:w="9166" w:type="dxa"/>
          </w:tcPr>
          <w:p w14:paraId="6BFF06A7" w14:textId="77777777" w:rsidR="007F1254" w:rsidRDefault="00E9385A">
            <w:pPr>
              <w:pStyle w:val="TableParagraph"/>
              <w:spacing w:before="115"/>
              <w:ind w:left="320" w:right="198" w:firstLine="239"/>
              <w:jc w:val="both"/>
            </w:pPr>
            <w:r>
              <w:t>b. one plan and specification or appropriate particulars (either in electronic format or hard copy), including suitable drawings or plans, elevations and sections to a scale in metric units of measurement of not less than 1:50 so marked as to give adequate details of the construction or proposed</w:t>
            </w:r>
            <w:r>
              <w:rPr>
                <w:spacing w:val="-14"/>
              </w:rPr>
              <w:t xml:space="preserve"> </w:t>
            </w:r>
            <w:r>
              <w:t>construction</w:t>
            </w:r>
            <w:r>
              <w:rPr>
                <w:spacing w:val="-14"/>
              </w:rPr>
              <w:t xml:space="preserve"> </w:t>
            </w:r>
            <w:r>
              <w:t>and</w:t>
            </w:r>
            <w:r>
              <w:rPr>
                <w:spacing w:val="-16"/>
              </w:rPr>
              <w:t xml:space="preserve"> </w:t>
            </w:r>
            <w:r>
              <w:t>dimensions</w:t>
            </w:r>
            <w:r>
              <w:rPr>
                <w:spacing w:val="-13"/>
              </w:rPr>
              <w:t xml:space="preserve"> </w:t>
            </w:r>
            <w:r>
              <w:t>and</w:t>
            </w:r>
            <w:r>
              <w:rPr>
                <w:spacing w:val="-17"/>
              </w:rPr>
              <w:t xml:space="preserve"> </w:t>
            </w:r>
            <w:r>
              <w:t>manner</w:t>
            </w:r>
            <w:r>
              <w:rPr>
                <w:spacing w:val="-15"/>
              </w:rPr>
              <w:t xml:space="preserve"> </w:t>
            </w:r>
            <w:r>
              <w:t>of</w:t>
            </w:r>
            <w:r>
              <w:rPr>
                <w:spacing w:val="-13"/>
              </w:rPr>
              <w:t xml:space="preserve"> </w:t>
            </w:r>
            <w:r>
              <w:t>installation</w:t>
            </w:r>
            <w:r>
              <w:rPr>
                <w:spacing w:val="-16"/>
              </w:rPr>
              <w:t xml:space="preserve"> </w:t>
            </w:r>
            <w:r>
              <w:t>or</w:t>
            </w:r>
            <w:r>
              <w:rPr>
                <w:spacing w:val="-16"/>
              </w:rPr>
              <w:t xml:space="preserve"> </w:t>
            </w:r>
            <w:r>
              <w:t>proposed</w:t>
            </w:r>
            <w:r>
              <w:rPr>
                <w:spacing w:val="-13"/>
              </w:rPr>
              <w:t xml:space="preserve"> </w:t>
            </w:r>
            <w:r>
              <w:t>installation</w:t>
            </w:r>
            <w:r>
              <w:rPr>
                <w:spacing w:val="-16"/>
              </w:rPr>
              <w:t xml:space="preserve"> </w:t>
            </w:r>
            <w:r>
              <w:t>of</w:t>
            </w:r>
            <w:r>
              <w:rPr>
                <w:spacing w:val="-16"/>
              </w:rPr>
              <w:t xml:space="preserve"> </w:t>
            </w:r>
            <w:r>
              <w:t>each underground storage tank, dispensing pump, container store, container compound and any pipeline (including its diameter);</w:t>
            </w:r>
          </w:p>
        </w:tc>
      </w:tr>
      <w:tr w:rsidR="007F1254" w14:paraId="4AA7B060" w14:textId="77777777">
        <w:trPr>
          <w:trHeight w:val="1613"/>
        </w:trPr>
        <w:tc>
          <w:tcPr>
            <w:tcW w:w="9166" w:type="dxa"/>
          </w:tcPr>
          <w:p w14:paraId="2994C072" w14:textId="77777777" w:rsidR="007F1254" w:rsidRDefault="00E9385A">
            <w:pPr>
              <w:pStyle w:val="TableParagraph"/>
              <w:spacing w:before="114"/>
              <w:ind w:left="320" w:right="201" w:firstLine="239"/>
              <w:jc w:val="both"/>
            </w:pPr>
            <w:r>
              <w:t>c.</w:t>
            </w:r>
            <w:r>
              <w:rPr>
                <w:spacing w:val="-6"/>
              </w:rPr>
              <w:t xml:space="preserve"> </w:t>
            </w:r>
            <w:r>
              <w:t>one</w:t>
            </w:r>
            <w:r>
              <w:rPr>
                <w:spacing w:val="-5"/>
              </w:rPr>
              <w:t xml:space="preserve"> </w:t>
            </w:r>
            <w:r>
              <w:t>plan</w:t>
            </w:r>
            <w:r>
              <w:rPr>
                <w:spacing w:val="-9"/>
              </w:rPr>
              <w:t xml:space="preserve"> </w:t>
            </w:r>
            <w:r>
              <w:t>or</w:t>
            </w:r>
            <w:r>
              <w:rPr>
                <w:spacing w:val="-6"/>
              </w:rPr>
              <w:t xml:space="preserve"> </w:t>
            </w:r>
            <w:r>
              <w:t>specification</w:t>
            </w:r>
            <w:r>
              <w:rPr>
                <w:spacing w:val="-8"/>
              </w:rPr>
              <w:t xml:space="preserve"> </w:t>
            </w:r>
            <w:r>
              <w:t>or</w:t>
            </w:r>
            <w:r>
              <w:rPr>
                <w:spacing w:val="-6"/>
              </w:rPr>
              <w:t xml:space="preserve"> </w:t>
            </w:r>
            <w:r>
              <w:t>appropriate</w:t>
            </w:r>
            <w:r>
              <w:rPr>
                <w:spacing w:val="-5"/>
              </w:rPr>
              <w:t xml:space="preserve"> </w:t>
            </w:r>
            <w:r>
              <w:t>particulars</w:t>
            </w:r>
            <w:r>
              <w:rPr>
                <w:spacing w:val="-6"/>
              </w:rPr>
              <w:t xml:space="preserve"> </w:t>
            </w:r>
            <w:r>
              <w:t>(either</w:t>
            </w:r>
            <w:r>
              <w:rPr>
                <w:spacing w:val="-6"/>
              </w:rPr>
              <w:t xml:space="preserve"> </w:t>
            </w:r>
            <w:r>
              <w:t>in</w:t>
            </w:r>
            <w:r>
              <w:rPr>
                <w:spacing w:val="-6"/>
              </w:rPr>
              <w:t xml:space="preserve"> </w:t>
            </w:r>
            <w:r>
              <w:t>electronic</w:t>
            </w:r>
            <w:r>
              <w:rPr>
                <w:spacing w:val="-6"/>
              </w:rPr>
              <w:t xml:space="preserve"> </w:t>
            </w:r>
            <w:r>
              <w:t>format</w:t>
            </w:r>
            <w:r>
              <w:rPr>
                <w:spacing w:val="-8"/>
              </w:rPr>
              <w:t xml:space="preserve"> </w:t>
            </w:r>
            <w:r>
              <w:t>or</w:t>
            </w:r>
            <w:r>
              <w:rPr>
                <w:spacing w:val="-6"/>
              </w:rPr>
              <w:t xml:space="preserve"> </w:t>
            </w:r>
            <w:r>
              <w:t>hard</w:t>
            </w:r>
            <w:r>
              <w:rPr>
                <w:spacing w:val="-7"/>
              </w:rPr>
              <w:t xml:space="preserve"> </w:t>
            </w:r>
            <w:r>
              <w:t xml:space="preserve">copy) shall be so marked as to show all electrical apparatus installed or to be installed or used at a distance not exceeding 5 </w:t>
            </w:r>
            <w:proofErr w:type="spellStart"/>
            <w:r>
              <w:t>metres</w:t>
            </w:r>
            <w:proofErr w:type="spellEnd"/>
            <w:r>
              <w:t xml:space="preserve"> of each underground storage tank, container store, container compound, dispensing pump or filling, dipping or venting openings of an underground tank or pipeline;</w:t>
            </w:r>
          </w:p>
        </w:tc>
      </w:tr>
      <w:tr w:rsidR="007F1254" w14:paraId="3C7F5845" w14:textId="77777777">
        <w:trPr>
          <w:trHeight w:val="538"/>
        </w:trPr>
        <w:tc>
          <w:tcPr>
            <w:tcW w:w="9166" w:type="dxa"/>
          </w:tcPr>
          <w:p w14:paraId="1E264059" w14:textId="77777777" w:rsidR="007F1254" w:rsidRDefault="00E9385A">
            <w:pPr>
              <w:pStyle w:val="TableParagraph"/>
              <w:spacing w:before="115"/>
              <w:ind w:left="559"/>
            </w:pPr>
            <w:r>
              <w:t xml:space="preserve">d. detailed </w:t>
            </w:r>
            <w:proofErr w:type="gramStart"/>
            <w:r>
              <w:t>particulars to</w:t>
            </w:r>
            <w:proofErr w:type="gramEnd"/>
            <w:r>
              <w:t xml:space="preserve"> be shown on a plan of:</w:t>
            </w:r>
          </w:p>
        </w:tc>
      </w:tr>
      <w:tr w:rsidR="007F1254" w14:paraId="0ECA284D" w14:textId="77777777">
        <w:trPr>
          <w:trHeight w:val="1344"/>
        </w:trPr>
        <w:tc>
          <w:tcPr>
            <w:tcW w:w="9166" w:type="dxa"/>
          </w:tcPr>
          <w:p w14:paraId="7C6A22E8" w14:textId="77777777" w:rsidR="007F1254" w:rsidRDefault="00E9385A">
            <w:pPr>
              <w:pStyle w:val="TableParagraph"/>
              <w:spacing w:before="114"/>
              <w:ind w:left="440" w:right="198" w:firstLine="359"/>
              <w:jc w:val="both"/>
            </w:pPr>
            <w:proofErr w:type="spellStart"/>
            <w:r>
              <w:t>i</w:t>
            </w:r>
            <w:proofErr w:type="spellEnd"/>
            <w:r>
              <w:t xml:space="preserve">. each building or place at a retail store or </w:t>
            </w:r>
            <w:proofErr w:type="spellStart"/>
            <w:r>
              <w:t>kerbside</w:t>
            </w:r>
            <w:proofErr w:type="spellEnd"/>
            <w:r>
              <w:t xml:space="preserve"> retail store in or at which any articles, materials or substances (other than flammable liquids and fuels) liable to spontaneous combustion or ignition or otherwise flammable or dangerous are kept or will be kept and their amounts or quantities;</w:t>
            </w:r>
          </w:p>
        </w:tc>
      </w:tr>
      <w:tr w:rsidR="007F1254" w14:paraId="4399F7A7" w14:textId="77777777">
        <w:trPr>
          <w:trHeight w:val="648"/>
        </w:trPr>
        <w:tc>
          <w:tcPr>
            <w:tcW w:w="9166" w:type="dxa"/>
          </w:tcPr>
          <w:p w14:paraId="7C78DBEC" w14:textId="77777777" w:rsidR="007F1254" w:rsidRDefault="00E9385A">
            <w:pPr>
              <w:pStyle w:val="TableParagraph"/>
              <w:spacing w:before="113" w:line="270" w:lineRule="atLeast"/>
              <w:ind w:left="440" w:right="122" w:firstLine="359"/>
            </w:pPr>
            <w:r>
              <w:t>ii. the amount or quantity of flammable liquids and fuels kept or to be kept in each underground storage tank, container store, container compound, or other storage medium; and</w:t>
            </w:r>
          </w:p>
        </w:tc>
      </w:tr>
    </w:tbl>
    <w:p w14:paraId="04BE9285" w14:textId="77777777" w:rsidR="007F1254" w:rsidRDefault="007F1254">
      <w:pPr>
        <w:spacing w:line="270" w:lineRule="atLeast"/>
        <w:sectPr w:rsidR="007F1254">
          <w:pgSz w:w="11910" w:h="16840"/>
          <w:pgMar w:top="1580" w:right="1100" w:bottom="280" w:left="1180" w:header="720" w:footer="720" w:gutter="0"/>
          <w:cols w:space="720"/>
        </w:sectPr>
      </w:pPr>
    </w:p>
    <w:tbl>
      <w:tblPr>
        <w:tblW w:w="0" w:type="auto"/>
        <w:tblInd w:w="348" w:type="dxa"/>
        <w:tblLayout w:type="fixed"/>
        <w:tblCellMar>
          <w:left w:w="0" w:type="dxa"/>
          <w:right w:w="0" w:type="dxa"/>
        </w:tblCellMar>
        <w:tblLook w:val="01E0" w:firstRow="1" w:lastRow="1" w:firstColumn="1" w:lastColumn="1" w:noHBand="0" w:noVBand="0"/>
      </w:tblPr>
      <w:tblGrid>
        <w:gridCol w:w="9164"/>
      </w:tblGrid>
      <w:tr w:rsidR="007F1254" w14:paraId="0FC43CCF" w14:textId="77777777">
        <w:trPr>
          <w:trHeight w:val="648"/>
        </w:trPr>
        <w:tc>
          <w:tcPr>
            <w:tcW w:w="9164" w:type="dxa"/>
          </w:tcPr>
          <w:p w14:paraId="1E07AB6B" w14:textId="77777777" w:rsidR="007F1254" w:rsidRDefault="00E9385A">
            <w:pPr>
              <w:pStyle w:val="TableParagraph"/>
              <w:spacing w:line="225" w:lineRule="exact"/>
              <w:ind w:left="799"/>
            </w:pPr>
            <w:r>
              <w:lastRenderedPageBreak/>
              <w:t>iii. the approximate maximum number of persons employed or likely to be employed at the</w:t>
            </w:r>
          </w:p>
          <w:p w14:paraId="2747FD11" w14:textId="77777777" w:rsidR="007F1254" w:rsidRDefault="00E9385A">
            <w:pPr>
              <w:pStyle w:val="TableParagraph"/>
              <w:ind w:left="440"/>
            </w:pPr>
            <w:r>
              <w:t>store and where applicable in each building at the store;</w:t>
            </w:r>
          </w:p>
        </w:tc>
      </w:tr>
      <w:tr w:rsidR="007F1254" w14:paraId="00720796" w14:textId="77777777">
        <w:trPr>
          <w:trHeight w:val="806"/>
        </w:trPr>
        <w:tc>
          <w:tcPr>
            <w:tcW w:w="9164" w:type="dxa"/>
          </w:tcPr>
          <w:p w14:paraId="765D9D8C" w14:textId="77777777" w:rsidR="007F1254" w:rsidRDefault="00E9385A">
            <w:pPr>
              <w:pStyle w:val="TableParagraph"/>
              <w:spacing w:before="114"/>
              <w:ind w:left="320" w:firstLine="239"/>
            </w:pPr>
            <w:r>
              <w:t xml:space="preserve">e. any </w:t>
            </w:r>
            <w:proofErr w:type="gramStart"/>
            <w:r>
              <w:t>further particulars, maps</w:t>
            </w:r>
            <w:proofErr w:type="gramEnd"/>
            <w:r>
              <w:t xml:space="preserve"> or drawings shall be provided which the licensing authority requires by a notice in writing or electronically.</w:t>
            </w:r>
          </w:p>
        </w:tc>
      </w:tr>
      <w:tr w:rsidR="007F1254" w14:paraId="733CBE0A" w14:textId="77777777">
        <w:trPr>
          <w:trHeight w:val="807"/>
        </w:trPr>
        <w:tc>
          <w:tcPr>
            <w:tcW w:w="9164" w:type="dxa"/>
          </w:tcPr>
          <w:p w14:paraId="3199C58F" w14:textId="77777777" w:rsidR="007F1254" w:rsidRDefault="00E9385A">
            <w:pPr>
              <w:pStyle w:val="TableParagraph"/>
              <w:spacing w:before="114"/>
              <w:ind w:left="200" w:firstLine="120"/>
            </w:pPr>
            <w:r>
              <w:t>(3)</w:t>
            </w:r>
            <w:r>
              <w:rPr>
                <w:spacing w:val="-13"/>
              </w:rPr>
              <w:t xml:space="preserve"> </w:t>
            </w:r>
            <w:r>
              <w:t>Subject</w:t>
            </w:r>
            <w:r>
              <w:rPr>
                <w:spacing w:val="-15"/>
              </w:rPr>
              <w:t xml:space="preserve"> </w:t>
            </w:r>
            <w:r>
              <w:t>to</w:t>
            </w:r>
            <w:r>
              <w:rPr>
                <w:spacing w:val="-12"/>
              </w:rPr>
              <w:t xml:space="preserve"> </w:t>
            </w:r>
            <w:r>
              <w:t>Regulation</w:t>
            </w:r>
            <w:r>
              <w:rPr>
                <w:spacing w:val="-16"/>
              </w:rPr>
              <w:t xml:space="preserve"> </w:t>
            </w:r>
            <w:r>
              <w:t>17(3),</w:t>
            </w:r>
            <w:r>
              <w:rPr>
                <w:spacing w:val="-15"/>
              </w:rPr>
              <w:t xml:space="preserve"> </w:t>
            </w:r>
            <w:r>
              <w:t>every</w:t>
            </w:r>
            <w:r>
              <w:rPr>
                <w:spacing w:val="-13"/>
              </w:rPr>
              <w:t xml:space="preserve"> </w:t>
            </w:r>
            <w:r>
              <w:t>risk</w:t>
            </w:r>
            <w:r>
              <w:rPr>
                <w:spacing w:val="-15"/>
              </w:rPr>
              <w:t xml:space="preserve"> </w:t>
            </w:r>
            <w:r>
              <w:t>assessment</w:t>
            </w:r>
            <w:r>
              <w:rPr>
                <w:spacing w:val="-15"/>
              </w:rPr>
              <w:t xml:space="preserve"> </w:t>
            </w:r>
            <w:r>
              <w:t>supplied</w:t>
            </w:r>
            <w:r>
              <w:rPr>
                <w:spacing w:val="-12"/>
              </w:rPr>
              <w:t xml:space="preserve"> </w:t>
            </w:r>
            <w:r>
              <w:t>with</w:t>
            </w:r>
            <w:r>
              <w:rPr>
                <w:spacing w:val="-13"/>
              </w:rPr>
              <w:t xml:space="preserve"> </w:t>
            </w:r>
            <w:r>
              <w:t>an</w:t>
            </w:r>
            <w:r>
              <w:rPr>
                <w:spacing w:val="-14"/>
              </w:rPr>
              <w:t xml:space="preserve"> </w:t>
            </w:r>
            <w:r>
              <w:t>application</w:t>
            </w:r>
            <w:r>
              <w:rPr>
                <w:spacing w:val="-15"/>
              </w:rPr>
              <w:t xml:space="preserve"> </w:t>
            </w:r>
            <w:r>
              <w:t>for</w:t>
            </w:r>
            <w:r>
              <w:rPr>
                <w:spacing w:val="-13"/>
              </w:rPr>
              <w:t xml:space="preserve"> </w:t>
            </w:r>
            <w:r>
              <w:t>an</w:t>
            </w:r>
            <w:r>
              <w:rPr>
                <w:spacing w:val="-15"/>
              </w:rPr>
              <w:t xml:space="preserve"> </w:t>
            </w:r>
            <w:r>
              <w:t xml:space="preserve">amended </w:t>
            </w:r>
            <w:proofErr w:type="spellStart"/>
            <w:r>
              <w:t>licence</w:t>
            </w:r>
            <w:proofErr w:type="spellEnd"/>
            <w:r>
              <w:t xml:space="preserve"> or Certificate of Operation under Regulation 17 shall be accompanied</w:t>
            </w:r>
            <w:r>
              <w:rPr>
                <w:spacing w:val="-20"/>
              </w:rPr>
              <w:t xml:space="preserve"> </w:t>
            </w:r>
            <w:r>
              <w:t>by:</w:t>
            </w:r>
          </w:p>
        </w:tc>
      </w:tr>
      <w:tr w:rsidR="007F1254" w14:paraId="26E576C5" w14:textId="77777777">
        <w:trPr>
          <w:trHeight w:val="1076"/>
        </w:trPr>
        <w:tc>
          <w:tcPr>
            <w:tcW w:w="9164" w:type="dxa"/>
          </w:tcPr>
          <w:p w14:paraId="7C5368B9" w14:textId="77777777" w:rsidR="007F1254" w:rsidRDefault="00E9385A">
            <w:pPr>
              <w:pStyle w:val="TableParagraph"/>
              <w:spacing w:before="115"/>
              <w:ind w:left="320" w:right="201" w:firstLine="239"/>
              <w:jc w:val="both"/>
            </w:pPr>
            <w:r>
              <w:t xml:space="preserve">a. one plan (in metric units of measurement) or specification or appropriate </w:t>
            </w:r>
            <w:proofErr w:type="gramStart"/>
            <w:r>
              <w:t>particulars giving</w:t>
            </w:r>
            <w:proofErr w:type="gramEnd"/>
            <w:r>
              <w:t xml:space="preserve"> details of the proposed installation, alteration, enlargement, addition or reconstruction, to the specifications of paragraphs (1) and (2); and</w:t>
            </w:r>
          </w:p>
        </w:tc>
      </w:tr>
      <w:tr w:rsidR="007F1254" w14:paraId="3FDCD0B6" w14:textId="77777777">
        <w:trPr>
          <w:trHeight w:val="647"/>
        </w:trPr>
        <w:tc>
          <w:tcPr>
            <w:tcW w:w="9164" w:type="dxa"/>
          </w:tcPr>
          <w:p w14:paraId="4C0A3D41" w14:textId="77777777" w:rsidR="007F1254" w:rsidRDefault="00E9385A">
            <w:pPr>
              <w:pStyle w:val="TableParagraph"/>
              <w:spacing w:before="113" w:line="270" w:lineRule="atLeast"/>
              <w:ind w:left="320" w:firstLine="239"/>
            </w:pPr>
            <w:r>
              <w:t xml:space="preserve">b. any </w:t>
            </w:r>
            <w:proofErr w:type="gramStart"/>
            <w:r>
              <w:t>further particulars, plans</w:t>
            </w:r>
            <w:proofErr w:type="gramEnd"/>
            <w:r>
              <w:t>, maps or drawings which the licensing authority requires by notice in writing or electronically.</w:t>
            </w:r>
          </w:p>
        </w:tc>
      </w:tr>
    </w:tbl>
    <w:p w14:paraId="153FB7C0" w14:textId="77777777" w:rsidR="00454A55" w:rsidRDefault="00454A55"/>
    <w:sectPr w:rsidR="00454A55">
      <w:pgSz w:w="11910" w:h="16840"/>
      <w:pgMar w:top="1580" w:right="110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2F5EE" w14:textId="77777777" w:rsidR="00203194" w:rsidRDefault="00203194" w:rsidP="00203194">
      <w:r>
        <w:separator/>
      </w:r>
    </w:p>
  </w:endnote>
  <w:endnote w:type="continuationSeparator" w:id="0">
    <w:p w14:paraId="3F8BC138" w14:textId="77777777" w:rsidR="00203194" w:rsidRDefault="00203194" w:rsidP="0020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D882E" w14:textId="77777777" w:rsidR="00203194" w:rsidRDefault="00203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6E04" w14:textId="77777777" w:rsidR="00203194" w:rsidRDefault="00203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59E1" w14:textId="77777777" w:rsidR="00203194" w:rsidRDefault="00203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755DA" w14:textId="77777777" w:rsidR="00203194" w:rsidRDefault="00203194" w:rsidP="00203194">
      <w:r>
        <w:separator/>
      </w:r>
    </w:p>
  </w:footnote>
  <w:footnote w:type="continuationSeparator" w:id="0">
    <w:p w14:paraId="142A23B5" w14:textId="77777777" w:rsidR="00203194" w:rsidRDefault="00203194" w:rsidP="00203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9088" w14:textId="77777777" w:rsidR="00203194" w:rsidRDefault="00203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403E3" w14:textId="77777777" w:rsidR="00203194" w:rsidRDefault="00203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EE1F5" w14:textId="77777777" w:rsidR="00203194" w:rsidRDefault="00203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D4FE4"/>
    <w:multiLevelType w:val="hybridMultilevel"/>
    <w:tmpl w:val="4A90ECEE"/>
    <w:lvl w:ilvl="0" w:tplc="2E26B656">
      <w:start w:val="1"/>
      <w:numFmt w:val="decimal"/>
      <w:lvlText w:val="%1."/>
      <w:lvlJc w:val="left"/>
      <w:pPr>
        <w:ind w:left="478" w:hanging="219"/>
        <w:jc w:val="left"/>
      </w:pPr>
      <w:rPr>
        <w:rFonts w:hint="default"/>
        <w:w w:val="100"/>
        <w:lang w:val="en-US" w:eastAsia="en-US" w:bidi="ar-SA"/>
      </w:rPr>
    </w:lvl>
    <w:lvl w:ilvl="1" w:tplc="854051FA">
      <w:numFmt w:val="bullet"/>
      <w:lvlText w:val="•"/>
      <w:lvlJc w:val="left"/>
      <w:pPr>
        <w:ind w:left="1394" w:hanging="219"/>
      </w:pPr>
      <w:rPr>
        <w:rFonts w:hint="default"/>
        <w:lang w:val="en-US" w:eastAsia="en-US" w:bidi="ar-SA"/>
      </w:rPr>
    </w:lvl>
    <w:lvl w:ilvl="2" w:tplc="3C88C01C">
      <w:numFmt w:val="bullet"/>
      <w:lvlText w:val="•"/>
      <w:lvlJc w:val="left"/>
      <w:pPr>
        <w:ind w:left="2309" w:hanging="219"/>
      </w:pPr>
      <w:rPr>
        <w:rFonts w:hint="default"/>
        <w:lang w:val="en-US" w:eastAsia="en-US" w:bidi="ar-SA"/>
      </w:rPr>
    </w:lvl>
    <w:lvl w:ilvl="3" w:tplc="AE2C4776">
      <w:numFmt w:val="bullet"/>
      <w:lvlText w:val="•"/>
      <w:lvlJc w:val="left"/>
      <w:pPr>
        <w:ind w:left="3223" w:hanging="219"/>
      </w:pPr>
      <w:rPr>
        <w:rFonts w:hint="default"/>
        <w:lang w:val="en-US" w:eastAsia="en-US" w:bidi="ar-SA"/>
      </w:rPr>
    </w:lvl>
    <w:lvl w:ilvl="4" w:tplc="CDC46B0C">
      <w:numFmt w:val="bullet"/>
      <w:lvlText w:val="•"/>
      <w:lvlJc w:val="left"/>
      <w:pPr>
        <w:ind w:left="4138" w:hanging="219"/>
      </w:pPr>
      <w:rPr>
        <w:rFonts w:hint="default"/>
        <w:lang w:val="en-US" w:eastAsia="en-US" w:bidi="ar-SA"/>
      </w:rPr>
    </w:lvl>
    <w:lvl w:ilvl="5" w:tplc="04661C50">
      <w:numFmt w:val="bullet"/>
      <w:lvlText w:val="•"/>
      <w:lvlJc w:val="left"/>
      <w:pPr>
        <w:ind w:left="5053" w:hanging="219"/>
      </w:pPr>
      <w:rPr>
        <w:rFonts w:hint="default"/>
        <w:lang w:val="en-US" w:eastAsia="en-US" w:bidi="ar-SA"/>
      </w:rPr>
    </w:lvl>
    <w:lvl w:ilvl="6" w:tplc="91DE5BD4">
      <w:numFmt w:val="bullet"/>
      <w:lvlText w:val="•"/>
      <w:lvlJc w:val="left"/>
      <w:pPr>
        <w:ind w:left="5967" w:hanging="219"/>
      </w:pPr>
      <w:rPr>
        <w:rFonts w:hint="default"/>
        <w:lang w:val="en-US" w:eastAsia="en-US" w:bidi="ar-SA"/>
      </w:rPr>
    </w:lvl>
    <w:lvl w:ilvl="7" w:tplc="65E8068A">
      <w:numFmt w:val="bullet"/>
      <w:lvlText w:val="•"/>
      <w:lvlJc w:val="left"/>
      <w:pPr>
        <w:ind w:left="6882" w:hanging="219"/>
      </w:pPr>
      <w:rPr>
        <w:rFonts w:hint="default"/>
        <w:lang w:val="en-US" w:eastAsia="en-US" w:bidi="ar-SA"/>
      </w:rPr>
    </w:lvl>
    <w:lvl w:ilvl="8" w:tplc="19646726">
      <w:numFmt w:val="bullet"/>
      <w:lvlText w:val="•"/>
      <w:lvlJc w:val="left"/>
      <w:pPr>
        <w:ind w:left="7797" w:hanging="219"/>
      </w:pPr>
      <w:rPr>
        <w:rFonts w:hint="default"/>
        <w:lang w:val="en-US" w:eastAsia="en-US" w:bidi="ar-SA"/>
      </w:rPr>
    </w:lvl>
  </w:abstractNum>
  <w:abstractNum w:abstractNumId="1" w15:restartNumberingAfterBreak="0">
    <w:nsid w:val="5FFA44FC"/>
    <w:multiLevelType w:val="hybridMultilevel"/>
    <w:tmpl w:val="8E4A3C4E"/>
    <w:lvl w:ilvl="0" w:tplc="09DC7A10">
      <w:numFmt w:val="bullet"/>
      <w:lvlText w:val="•"/>
      <w:lvlJc w:val="left"/>
      <w:pPr>
        <w:ind w:left="301" w:hanging="161"/>
      </w:pPr>
      <w:rPr>
        <w:rFonts w:ascii="Carlito" w:eastAsia="Carlito" w:hAnsi="Carlito" w:cs="Carlito" w:hint="default"/>
        <w:w w:val="100"/>
        <w:sz w:val="22"/>
        <w:szCs w:val="22"/>
        <w:lang w:val="en-US" w:eastAsia="en-US" w:bidi="ar-SA"/>
      </w:rPr>
    </w:lvl>
    <w:lvl w:ilvl="1" w:tplc="362C8820">
      <w:numFmt w:val="bullet"/>
      <w:lvlText w:val="•"/>
      <w:lvlJc w:val="left"/>
      <w:pPr>
        <w:ind w:left="1232" w:hanging="161"/>
      </w:pPr>
      <w:rPr>
        <w:rFonts w:hint="default"/>
        <w:lang w:val="en-US" w:eastAsia="en-US" w:bidi="ar-SA"/>
      </w:rPr>
    </w:lvl>
    <w:lvl w:ilvl="2" w:tplc="D3501E7A">
      <w:numFmt w:val="bullet"/>
      <w:lvlText w:val="•"/>
      <w:lvlJc w:val="left"/>
      <w:pPr>
        <w:ind w:left="2165" w:hanging="161"/>
      </w:pPr>
      <w:rPr>
        <w:rFonts w:hint="default"/>
        <w:lang w:val="en-US" w:eastAsia="en-US" w:bidi="ar-SA"/>
      </w:rPr>
    </w:lvl>
    <w:lvl w:ilvl="3" w:tplc="6DF60FD4">
      <w:numFmt w:val="bullet"/>
      <w:lvlText w:val="•"/>
      <w:lvlJc w:val="left"/>
      <w:pPr>
        <w:ind w:left="3097" w:hanging="161"/>
      </w:pPr>
      <w:rPr>
        <w:rFonts w:hint="default"/>
        <w:lang w:val="en-US" w:eastAsia="en-US" w:bidi="ar-SA"/>
      </w:rPr>
    </w:lvl>
    <w:lvl w:ilvl="4" w:tplc="994209E6">
      <w:numFmt w:val="bullet"/>
      <w:lvlText w:val="•"/>
      <w:lvlJc w:val="left"/>
      <w:pPr>
        <w:ind w:left="4030" w:hanging="161"/>
      </w:pPr>
      <w:rPr>
        <w:rFonts w:hint="default"/>
        <w:lang w:val="en-US" w:eastAsia="en-US" w:bidi="ar-SA"/>
      </w:rPr>
    </w:lvl>
    <w:lvl w:ilvl="5" w:tplc="3F447F08">
      <w:numFmt w:val="bullet"/>
      <w:lvlText w:val="•"/>
      <w:lvlJc w:val="left"/>
      <w:pPr>
        <w:ind w:left="4963" w:hanging="161"/>
      </w:pPr>
      <w:rPr>
        <w:rFonts w:hint="default"/>
        <w:lang w:val="en-US" w:eastAsia="en-US" w:bidi="ar-SA"/>
      </w:rPr>
    </w:lvl>
    <w:lvl w:ilvl="6" w:tplc="F9BC3290">
      <w:numFmt w:val="bullet"/>
      <w:lvlText w:val="•"/>
      <w:lvlJc w:val="left"/>
      <w:pPr>
        <w:ind w:left="5895" w:hanging="161"/>
      </w:pPr>
      <w:rPr>
        <w:rFonts w:hint="default"/>
        <w:lang w:val="en-US" w:eastAsia="en-US" w:bidi="ar-SA"/>
      </w:rPr>
    </w:lvl>
    <w:lvl w:ilvl="7" w:tplc="344EF398">
      <w:numFmt w:val="bullet"/>
      <w:lvlText w:val="•"/>
      <w:lvlJc w:val="left"/>
      <w:pPr>
        <w:ind w:left="6828" w:hanging="161"/>
      </w:pPr>
      <w:rPr>
        <w:rFonts w:hint="default"/>
        <w:lang w:val="en-US" w:eastAsia="en-US" w:bidi="ar-SA"/>
      </w:rPr>
    </w:lvl>
    <w:lvl w:ilvl="8" w:tplc="90D26F6E">
      <w:numFmt w:val="bullet"/>
      <w:lvlText w:val="•"/>
      <w:lvlJc w:val="left"/>
      <w:pPr>
        <w:ind w:left="7761" w:hanging="161"/>
      </w:pPr>
      <w:rPr>
        <w:rFonts w:hint="default"/>
        <w:lang w:val="en-US" w:eastAsia="en-US" w:bidi="ar-SA"/>
      </w:rPr>
    </w:lvl>
  </w:abstractNum>
  <w:abstractNum w:abstractNumId="2" w15:restartNumberingAfterBreak="0">
    <w:nsid w:val="65315197"/>
    <w:multiLevelType w:val="hybridMultilevel"/>
    <w:tmpl w:val="C2AEFE5A"/>
    <w:lvl w:ilvl="0" w:tplc="5EDA5B54">
      <w:start w:val="1"/>
      <w:numFmt w:val="lowerLetter"/>
      <w:lvlText w:val="%1)"/>
      <w:lvlJc w:val="left"/>
      <w:pPr>
        <w:ind w:left="980" w:hanging="360"/>
        <w:jc w:val="left"/>
      </w:pPr>
      <w:rPr>
        <w:rFonts w:ascii="Carlito" w:eastAsia="Carlito" w:hAnsi="Carlito" w:cs="Carlito" w:hint="default"/>
        <w:spacing w:val="-1"/>
        <w:w w:val="100"/>
        <w:sz w:val="22"/>
        <w:szCs w:val="22"/>
        <w:lang w:val="en-US" w:eastAsia="en-US" w:bidi="ar-SA"/>
      </w:rPr>
    </w:lvl>
    <w:lvl w:ilvl="1" w:tplc="3F0AB154">
      <w:numFmt w:val="bullet"/>
      <w:lvlText w:val="•"/>
      <w:lvlJc w:val="left"/>
      <w:pPr>
        <w:ind w:left="1844" w:hanging="360"/>
      </w:pPr>
      <w:rPr>
        <w:rFonts w:hint="default"/>
        <w:lang w:val="en-US" w:eastAsia="en-US" w:bidi="ar-SA"/>
      </w:rPr>
    </w:lvl>
    <w:lvl w:ilvl="2" w:tplc="8668D86A">
      <w:numFmt w:val="bullet"/>
      <w:lvlText w:val="•"/>
      <w:lvlJc w:val="left"/>
      <w:pPr>
        <w:ind w:left="2709" w:hanging="360"/>
      </w:pPr>
      <w:rPr>
        <w:rFonts w:hint="default"/>
        <w:lang w:val="en-US" w:eastAsia="en-US" w:bidi="ar-SA"/>
      </w:rPr>
    </w:lvl>
    <w:lvl w:ilvl="3" w:tplc="E70670CE">
      <w:numFmt w:val="bullet"/>
      <w:lvlText w:val="•"/>
      <w:lvlJc w:val="left"/>
      <w:pPr>
        <w:ind w:left="3573" w:hanging="360"/>
      </w:pPr>
      <w:rPr>
        <w:rFonts w:hint="default"/>
        <w:lang w:val="en-US" w:eastAsia="en-US" w:bidi="ar-SA"/>
      </w:rPr>
    </w:lvl>
    <w:lvl w:ilvl="4" w:tplc="0870EC9C">
      <w:numFmt w:val="bullet"/>
      <w:lvlText w:val="•"/>
      <w:lvlJc w:val="left"/>
      <w:pPr>
        <w:ind w:left="4438" w:hanging="360"/>
      </w:pPr>
      <w:rPr>
        <w:rFonts w:hint="default"/>
        <w:lang w:val="en-US" w:eastAsia="en-US" w:bidi="ar-SA"/>
      </w:rPr>
    </w:lvl>
    <w:lvl w:ilvl="5" w:tplc="BCD01FA8">
      <w:numFmt w:val="bullet"/>
      <w:lvlText w:val="•"/>
      <w:lvlJc w:val="left"/>
      <w:pPr>
        <w:ind w:left="5303" w:hanging="360"/>
      </w:pPr>
      <w:rPr>
        <w:rFonts w:hint="default"/>
        <w:lang w:val="en-US" w:eastAsia="en-US" w:bidi="ar-SA"/>
      </w:rPr>
    </w:lvl>
    <w:lvl w:ilvl="6" w:tplc="C2143494">
      <w:numFmt w:val="bullet"/>
      <w:lvlText w:val="•"/>
      <w:lvlJc w:val="left"/>
      <w:pPr>
        <w:ind w:left="6167" w:hanging="360"/>
      </w:pPr>
      <w:rPr>
        <w:rFonts w:hint="default"/>
        <w:lang w:val="en-US" w:eastAsia="en-US" w:bidi="ar-SA"/>
      </w:rPr>
    </w:lvl>
    <w:lvl w:ilvl="7" w:tplc="9CB43C04">
      <w:numFmt w:val="bullet"/>
      <w:lvlText w:val="•"/>
      <w:lvlJc w:val="left"/>
      <w:pPr>
        <w:ind w:left="7032" w:hanging="360"/>
      </w:pPr>
      <w:rPr>
        <w:rFonts w:hint="default"/>
        <w:lang w:val="en-US" w:eastAsia="en-US" w:bidi="ar-SA"/>
      </w:rPr>
    </w:lvl>
    <w:lvl w:ilvl="8" w:tplc="E6FCFA3E">
      <w:numFmt w:val="bullet"/>
      <w:lvlText w:val="•"/>
      <w:lvlJc w:val="left"/>
      <w:pPr>
        <w:ind w:left="7897"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54"/>
    <w:rsid w:val="00203194"/>
    <w:rsid w:val="00454A55"/>
    <w:rsid w:val="007F1254"/>
    <w:rsid w:val="00CD6E47"/>
    <w:rsid w:val="00E9385A"/>
    <w:rsid w:val="00F97B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C8D4"/>
  <w15:docId w15:val="{9FCAEAC9-E823-4860-B355-B14575FD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41"/>
      <w:ind w:left="260"/>
      <w:jc w:val="center"/>
      <w:outlineLvl w:val="0"/>
    </w:pPr>
    <w:rPr>
      <w:b/>
      <w:bCs/>
      <w:sz w:val="24"/>
      <w:szCs w:val="24"/>
    </w:rPr>
  </w:style>
  <w:style w:type="paragraph" w:styleId="Heading2">
    <w:name w:val="heading 2"/>
    <w:basedOn w:val="Normal"/>
    <w:uiPriority w:val="9"/>
    <w:unhideWhenUsed/>
    <w:qFormat/>
    <w:pPr>
      <w:spacing w:before="179"/>
      <w:ind w:left="2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4"/>
      <w:ind w:left="480" w:right="479" w:hanging="2"/>
      <w:jc w:val="center"/>
    </w:pPr>
    <w:rPr>
      <w:b/>
      <w:bCs/>
      <w:sz w:val="28"/>
      <w:szCs w:val="28"/>
    </w:rPr>
  </w:style>
  <w:style w:type="paragraph" w:styleId="ListParagraph">
    <w:name w:val="List Paragraph"/>
    <w:basedOn w:val="Normal"/>
    <w:uiPriority w:val="1"/>
    <w:qFormat/>
    <w:pPr>
      <w:spacing w:before="120"/>
      <w:ind w:left="461" w:hanging="1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3194"/>
    <w:pPr>
      <w:tabs>
        <w:tab w:val="center" w:pos="4513"/>
        <w:tab w:val="right" w:pos="9026"/>
      </w:tabs>
    </w:pPr>
  </w:style>
  <w:style w:type="character" w:customStyle="1" w:styleId="HeaderChar">
    <w:name w:val="Header Char"/>
    <w:basedOn w:val="DefaultParagraphFont"/>
    <w:link w:val="Header"/>
    <w:uiPriority w:val="99"/>
    <w:rsid w:val="00203194"/>
    <w:rPr>
      <w:rFonts w:ascii="Carlito" w:eastAsia="Carlito" w:hAnsi="Carlito" w:cs="Carlito"/>
    </w:rPr>
  </w:style>
  <w:style w:type="paragraph" w:styleId="Footer">
    <w:name w:val="footer"/>
    <w:basedOn w:val="Normal"/>
    <w:link w:val="FooterChar"/>
    <w:uiPriority w:val="99"/>
    <w:unhideWhenUsed/>
    <w:rsid w:val="00203194"/>
    <w:pPr>
      <w:tabs>
        <w:tab w:val="center" w:pos="4513"/>
        <w:tab w:val="right" w:pos="9026"/>
      </w:tabs>
    </w:pPr>
  </w:style>
  <w:style w:type="character" w:customStyle="1" w:styleId="FooterChar">
    <w:name w:val="Footer Char"/>
    <w:basedOn w:val="DefaultParagraphFont"/>
    <w:link w:val="Footer"/>
    <w:uiPriority w:val="99"/>
    <w:rsid w:val="00203194"/>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O'Reilly</dc:creator>
  <cp:lastModifiedBy>June Leddy</cp:lastModifiedBy>
  <cp:revision>2</cp:revision>
  <dcterms:created xsi:type="dcterms:W3CDTF">2020-06-22T13:41:00Z</dcterms:created>
  <dcterms:modified xsi:type="dcterms:W3CDTF">2020-06-22T13:41:00Z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Word for Office 365</vt:lpwstr>
  </property>
  <property fmtid="{D5CDD505-2E9C-101B-9397-08002B2CF9AE}" pid="4" name="LastSaved">
    <vt:filetime>2020-06-21T00:00:00Z</vt:filetime>
  </property>
</Properties>
</file>