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48" w:rsidRPr="00744109" w:rsidRDefault="00205148" w:rsidP="00205148">
      <w:pPr>
        <w:autoSpaceDE w:val="0"/>
        <w:autoSpaceDN w:val="0"/>
        <w:adjustRightInd w:val="0"/>
        <w:spacing w:after="0" w:line="240" w:lineRule="auto"/>
        <w:rPr>
          <w:rFonts w:ascii="Arial" w:hAnsi="Arial" w:cs="Arial"/>
          <w:color w:val="000000"/>
          <w:sz w:val="24"/>
          <w:szCs w:val="24"/>
          <w:lang w:val="en-IE"/>
        </w:rPr>
      </w:pPr>
    </w:p>
    <w:p w:rsidR="00CD4D1F" w:rsidRDefault="000A6A86" w:rsidP="00CD4D1F">
      <w:pPr>
        <w:pStyle w:val="NoSpacing"/>
        <w:rPr>
          <w:rFonts w:asciiTheme="majorHAnsi" w:eastAsiaTheme="majorEastAsia" w:hAnsiTheme="majorHAnsi" w:cstheme="majorBidi"/>
          <w:sz w:val="72"/>
          <w:szCs w:val="72"/>
        </w:rPr>
      </w:pPr>
      <w:r w:rsidRPr="000A6A86">
        <w:rPr>
          <w:rFonts w:eastAsiaTheme="majorEastAsia" w:cstheme="majorBidi"/>
          <w:noProof/>
          <w:lang w:eastAsia="zh-TW"/>
        </w:rPr>
        <w:pict>
          <v:rect id="_x0000_s1028" style="position:absolute;margin-left:0;margin-top:0;width:7.15pt;height:830.75pt;z-index:25166233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0A6A86">
        <w:rPr>
          <w:rFonts w:eastAsiaTheme="majorEastAsia" w:cstheme="majorBidi"/>
          <w:noProof/>
          <w:lang w:eastAsia="zh-TW"/>
        </w:rPr>
        <w:pict>
          <v:rect id="_x0000_s1027" style="position:absolute;margin-left:0;margin-top:0;width:7.15pt;height:830.75pt;z-index:25166131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0A6A86">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Arial" w:hAnsi="Arial" w:cs="Arial"/>
          <w:b/>
          <w:sz w:val="96"/>
          <w:szCs w:val="96"/>
        </w:rPr>
        <w:alias w:val="Title"/>
        <w:id w:val="14700071"/>
        <w:placeholder>
          <w:docPart w:val="AAAB1598829E4F37B99DFA9B67EB7E44"/>
        </w:placeholder>
        <w:dataBinding w:prefixMappings="xmlns:ns0='http://schemas.openxmlformats.org/package/2006/metadata/core-properties' xmlns:ns1='http://purl.org/dc/elements/1.1/'" w:xpath="/ns0:coreProperties[1]/ns1:title[1]" w:storeItemID="{6C3C8BC8-F283-45AE-878A-BAB7291924A1}"/>
        <w:text/>
      </w:sdtPr>
      <w:sdtContent>
        <w:p w:rsidR="00CD4D1F" w:rsidRPr="00CD4D1F" w:rsidRDefault="009B49F4" w:rsidP="00CD4D1F">
          <w:pPr>
            <w:pStyle w:val="NoSpacing"/>
            <w:jc w:val="center"/>
            <w:rPr>
              <w:rFonts w:ascii="Arial" w:eastAsiaTheme="majorEastAsia" w:hAnsi="Arial" w:cs="Arial"/>
              <w:b/>
              <w:sz w:val="72"/>
              <w:szCs w:val="72"/>
            </w:rPr>
          </w:pPr>
          <w:r>
            <w:rPr>
              <w:rFonts w:ascii="Arial" w:hAnsi="Arial" w:cs="Arial"/>
              <w:b/>
              <w:sz w:val="96"/>
              <w:szCs w:val="96"/>
              <w:lang w:val="en-IE"/>
            </w:rPr>
            <w:t xml:space="preserve">Cavan County </w:t>
          </w:r>
          <w:proofErr w:type="gramStart"/>
          <w:r>
            <w:rPr>
              <w:rFonts w:ascii="Arial" w:hAnsi="Arial" w:cs="Arial"/>
              <w:b/>
              <w:sz w:val="96"/>
              <w:szCs w:val="96"/>
              <w:lang w:val="en-IE"/>
            </w:rPr>
            <w:t>Development  Plan</w:t>
          </w:r>
          <w:proofErr w:type="gramEnd"/>
          <w:r>
            <w:rPr>
              <w:rFonts w:ascii="Arial" w:hAnsi="Arial" w:cs="Arial"/>
              <w:b/>
              <w:sz w:val="96"/>
              <w:szCs w:val="96"/>
              <w:lang w:val="en-IE"/>
            </w:rPr>
            <w:t xml:space="preserve"> 2014-2020</w:t>
          </w:r>
        </w:p>
      </w:sdtContent>
    </w:sdt>
    <w:sdt>
      <w:sdtPr>
        <w:rPr>
          <w:rFonts w:ascii="Arial" w:hAnsi="Arial" w:cs="Arial"/>
          <w:b/>
          <w:sz w:val="72"/>
          <w:szCs w:val="72"/>
        </w:rPr>
        <w:alias w:val="Subtitle"/>
        <w:id w:val="14700077"/>
        <w:placeholder>
          <w:docPart w:val="17A594D3227B4BD98A7537B78A23DC78"/>
        </w:placeholder>
        <w:dataBinding w:prefixMappings="xmlns:ns0='http://schemas.openxmlformats.org/package/2006/metadata/core-properties' xmlns:ns1='http://purl.org/dc/elements/1.1/'" w:xpath="/ns0:coreProperties[1]/ns1:subject[1]" w:storeItemID="{6C3C8BC8-F283-45AE-878A-BAB7291924A1}"/>
        <w:text/>
      </w:sdtPr>
      <w:sdtContent>
        <w:p w:rsidR="00CD4D1F" w:rsidRPr="00CD4D1F" w:rsidRDefault="00CD4D1F" w:rsidP="007D6F34">
          <w:pPr>
            <w:pStyle w:val="NoSpacing"/>
            <w:jc w:val="center"/>
            <w:rPr>
              <w:rFonts w:ascii="Arial" w:eastAsiaTheme="majorEastAsia" w:hAnsi="Arial" w:cs="Arial"/>
              <w:b/>
              <w:sz w:val="72"/>
              <w:szCs w:val="72"/>
            </w:rPr>
          </w:pPr>
          <w:r w:rsidRPr="00CD4D1F">
            <w:rPr>
              <w:rFonts w:ascii="Arial" w:hAnsi="Arial" w:cs="Arial"/>
              <w:b/>
              <w:sz w:val="72"/>
              <w:szCs w:val="72"/>
            </w:rPr>
            <w:t>Variation Number 1</w:t>
          </w:r>
        </w:p>
      </w:sdtContent>
    </w:sdt>
    <w:p w:rsidR="00CD4D1F" w:rsidRDefault="00CD4D1F" w:rsidP="00CD4D1F">
      <w:pPr>
        <w:pStyle w:val="NoSpacing"/>
        <w:rPr>
          <w:rFonts w:asciiTheme="majorHAnsi" w:eastAsiaTheme="majorEastAsia" w:hAnsiTheme="majorHAnsi" w:cstheme="majorBidi"/>
          <w:sz w:val="36"/>
          <w:szCs w:val="36"/>
        </w:rPr>
      </w:pPr>
    </w:p>
    <w:p w:rsidR="00CD4D1F" w:rsidRDefault="00CD4D1F" w:rsidP="00CD4D1F">
      <w:pPr>
        <w:pStyle w:val="NoSpacing"/>
        <w:rPr>
          <w:rFonts w:asciiTheme="majorHAnsi" w:eastAsiaTheme="majorEastAsia" w:hAnsiTheme="majorHAnsi" w:cstheme="majorBidi"/>
          <w:sz w:val="36"/>
          <w:szCs w:val="36"/>
        </w:rPr>
      </w:pPr>
    </w:p>
    <w:sdt>
      <w:sdtPr>
        <w:rPr>
          <w:rFonts w:ascii="Times New Roman" w:hAnsi="Times New Roman" w:cs="Times New Roman"/>
        </w:rPr>
        <w:alias w:val="Date"/>
        <w:id w:val="14700083"/>
        <w:placeholder>
          <w:docPart w:val="EBFE872A41EC4EA1B7060910CBC3E8AB"/>
        </w:placeholder>
        <w:dataBinding w:prefixMappings="xmlns:ns0='http://schemas.microsoft.com/office/2006/coverPageProps'" w:xpath="/ns0:CoverPageProperties[1]/ns0:PublishDate[1]" w:storeItemID="{55AF091B-3C7A-41E3-B477-F2FDAA23CFDA}"/>
        <w:date w:fullDate="2018-07-12T00:00:00Z">
          <w:dateFormat w:val="M/d/yyyy"/>
          <w:lid w:val="en-US"/>
          <w:storeMappedDataAs w:val="dateTime"/>
          <w:calendar w:val="gregorian"/>
        </w:date>
      </w:sdtPr>
      <w:sdtContent>
        <w:p w:rsidR="00CD4D1F" w:rsidRDefault="00550D03" w:rsidP="00CD4D1F">
          <w:pPr>
            <w:pStyle w:val="NoSpacing"/>
          </w:pPr>
          <w:r>
            <w:rPr>
              <w:rFonts w:ascii="Times New Roman" w:hAnsi="Times New Roman" w:cs="Times New Roman"/>
            </w:rPr>
            <w:t>7/12/2018</w:t>
          </w:r>
        </w:p>
      </w:sdtContent>
    </w:sdt>
    <w:p w:rsidR="00CD4D1F" w:rsidRDefault="00CD4D1F" w:rsidP="00CD4D1F"/>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r w:rsidRPr="00CD4D1F">
        <w:rPr>
          <w:rFonts w:ascii="Arial" w:hAnsi="Arial" w:cs="Arial"/>
          <w:b/>
          <w:bCs/>
          <w:noProof/>
          <w:color w:val="000000"/>
          <w:sz w:val="24"/>
          <w:szCs w:val="24"/>
          <w:lang w:val="en-IE" w:eastAsia="en-IE"/>
        </w:rPr>
        <w:drawing>
          <wp:inline distT="0" distB="0" distL="0" distR="0">
            <wp:extent cx="955635" cy="1110223"/>
            <wp:effectExtent l="19050" t="0" r="0" b="0"/>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9" r:link="rId10" cstate="print"/>
                    <a:srcRect/>
                    <a:stretch>
                      <a:fillRect/>
                    </a:stretch>
                  </pic:blipFill>
                  <pic:spPr bwMode="auto">
                    <a:xfrm>
                      <a:off x="0" y="0"/>
                      <a:ext cx="955635" cy="1110223"/>
                    </a:xfrm>
                    <a:prstGeom prst="rect">
                      <a:avLst/>
                    </a:prstGeom>
                    <a:noFill/>
                    <a:ln w="9525">
                      <a:noFill/>
                      <a:miter lim="800000"/>
                      <a:headEnd/>
                      <a:tailEnd/>
                    </a:ln>
                  </pic:spPr>
                </pic:pic>
              </a:graphicData>
            </a:graphic>
          </wp:inline>
        </w:drawing>
      </w:r>
      <w:r w:rsidR="00550D03">
        <w:rPr>
          <w:rFonts w:ascii="Arial" w:hAnsi="Arial" w:cs="Arial"/>
          <w:b/>
          <w:bCs/>
          <w:color w:val="000000"/>
          <w:sz w:val="24"/>
          <w:szCs w:val="24"/>
          <w:lang w:val="en-IE"/>
        </w:rPr>
        <w:t xml:space="preserve">                                      </w:t>
      </w:r>
      <w:r w:rsidR="00550D03" w:rsidRPr="00550D03">
        <w:rPr>
          <w:rFonts w:ascii="Arial" w:hAnsi="Arial" w:cs="Arial"/>
          <w:b/>
          <w:bCs/>
          <w:color w:val="000000"/>
          <w:sz w:val="24"/>
          <w:szCs w:val="24"/>
          <w:lang w:val="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11"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AB5D19" w:rsidRDefault="00AB5D19" w:rsidP="00205148">
      <w:pPr>
        <w:autoSpaceDE w:val="0"/>
        <w:autoSpaceDN w:val="0"/>
        <w:adjustRightInd w:val="0"/>
        <w:spacing w:after="0" w:line="240" w:lineRule="auto"/>
        <w:rPr>
          <w:rFonts w:ascii="Arial" w:hAnsi="Arial" w:cs="Arial"/>
          <w:b/>
          <w:bCs/>
          <w:color w:val="000000"/>
          <w:sz w:val="24"/>
          <w:szCs w:val="24"/>
          <w:lang w:val="en-IE"/>
        </w:rPr>
      </w:pPr>
    </w:p>
    <w:p w:rsidR="00AB5D19" w:rsidRDefault="00AB5D19" w:rsidP="00205148">
      <w:pPr>
        <w:autoSpaceDE w:val="0"/>
        <w:autoSpaceDN w:val="0"/>
        <w:adjustRightInd w:val="0"/>
        <w:spacing w:after="0" w:line="240" w:lineRule="auto"/>
        <w:rPr>
          <w:rFonts w:ascii="Arial" w:hAnsi="Arial" w:cs="Arial"/>
          <w:b/>
          <w:bCs/>
          <w:color w:val="000000"/>
          <w:sz w:val="24"/>
          <w:szCs w:val="24"/>
          <w:lang w:val="en-IE"/>
        </w:rPr>
      </w:pPr>
    </w:p>
    <w:p w:rsidR="00AB5D19" w:rsidRDefault="00AB5D19" w:rsidP="00205148">
      <w:pPr>
        <w:autoSpaceDE w:val="0"/>
        <w:autoSpaceDN w:val="0"/>
        <w:adjustRightInd w:val="0"/>
        <w:spacing w:after="0" w:line="240" w:lineRule="auto"/>
        <w:rPr>
          <w:rFonts w:ascii="Arial" w:hAnsi="Arial" w:cs="Arial"/>
          <w:b/>
          <w:bCs/>
          <w:color w:val="000000"/>
          <w:sz w:val="24"/>
          <w:szCs w:val="24"/>
          <w:lang w:val="en-IE"/>
        </w:rPr>
      </w:pPr>
    </w:p>
    <w:p w:rsidR="00CD4D1F" w:rsidRDefault="000A6A86" w:rsidP="00205148">
      <w:pPr>
        <w:autoSpaceDE w:val="0"/>
        <w:autoSpaceDN w:val="0"/>
        <w:adjustRightInd w:val="0"/>
        <w:spacing w:after="0" w:line="240" w:lineRule="auto"/>
        <w:rPr>
          <w:rFonts w:ascii="Arial" w:hAnsi="Arial" w:cs="Arial"/>
          <w:b/>
          <w:bCs/>
          <w:color w:val="000000"/>
          <w:sz w:val="24"/>
          <w:szCs w:val="24"/>
          <w:lang w:val="en-IE"/>
        </w:rPr>
      </w:pPr>
      <w:r>
        <w:rPr>
          <w:rFonts w:ascii="Arial" w:hAnsi="Arial" w:cs="Arial"/>
          <w:b/>
          <w:bCs/>
          <w:noProof/>
          <w:color w:val="000000"/>
          <w:sz w:val="24"/>
          <w:szCs w:val="24"/>
          <w:lang w:val="en-IE" w:eastAsia="en-IE"/>
        </w:rPr>
        <w:pict>
          <v:rect id="_x0000_s1030" style="position:absolute;margin-left:-9.55pt;margin-top:789.9pt;width:624.2pt;height:64pt;z-index:251664384;mso-width-percent:1050;mso-height-percent:900;mso-position-horizontal-relative:page;mso-position-vertical-relative:page;mso-width-percent:1050;mso-height-percent:900;mso-height-relative:top-margin-area" o:allowincell="f" fillcolor="#4bacc6 [3208]" strokecolor="#31849b [2408]">
            <w10:wrap anchorx="page" anchory="page"/>
          </v:rect>
        </w:pict>
      </w:r>
    </w:p>
    <w:p w:rsidR="00CD4D1F" w:rsidRDefault="00CD4D1F" w:rsidP="00205148">
      <w:pPr>
        <w:autoSpaceDE w:val="0"/>
        <w:autoSpaceDN w:val="0"/>
        <w:adjustRightInd w:val="0"/>
        <w:spacing w:after="0" w:line="240" w:lineRule="auto"/>
        <w:rPr>
          <w:rFonts w:ascii="Arial" w:hAnsi="Arial" w:cs="Arial"/>
          <w:b/>
          <w:bCs/>
          <w:color w:val="000000"/>
          <w:sz w:val="24"/>
          <w:szCs w:val="24"/>
          <w:lang w:val="en-IE"/>
        </w:rPr>
      </w:pPr>
    </w:p>
    <w:p w:rsidR="00205148"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proofErr w:type="gramStart"/>
      <w:r w:rsidRPr="00156713">
        <w:rPr>
          <w:rFonts w:ascii="Arial" w:hAnsi="Arial" w:cs="Arial"/>
          <w:b/>
          <w:bCs/>
          <w:color w:val="000000"/>
          <w:sz w:val="20"/>
          <w:szCs w:val="20"/>
          <w:lang w:val="en-IE"/>
        </w:rPr>
        <w:t>1</w:t>
      </w:r>
      <w:r w:rsidR="008C319C" w:rsidRPr="00156713">
        <w:rPr>
          <w:rFonts w:ascii="Arial" w:hAnsi="Arial" w:cs="Arial"/>
          <w:b/>
          <w:bCs/>
          <w:color w:val="000000"/>
          <w:sz w:val="20"/>
          <w:szCs w:val="20"/>
          <w:lang w:val="en-IE"/>
        </w:rPr>
        <w:t xml:space="preserve">.0 </w:t>
      </w:r>
      <w:r w:rsidRPr="00156713">
        <w:rPr>
          <w:rFonts w:ascii="Arial" w:hAnsi="Arial" w:cs="Arial"/>
          <w:b/>
          <w:bCs/>
          <w:color w:val="000000"/>
          <w:sz w:val="20"/>
          <w:szCs w:val="20"/>
          <w:lang w:val="en-IE"/>
        </w:rPr>
        <w:t xml:space="preserve"> Introduction</w:t>
      </w:r>
      <w:proofErr w:type="gramEnd"/>
    </w:p>
    <w:p w:rsidR="008C319C" w:rsidRPr="00156713" w:rsidRDefault="008C319C"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1.1 General Introduction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lastRenderedPageBreak/>
        <w:t>Proposed Variation Number 1 of the Cavan County Development Plan proposes</w:t>
      </w:r>
      <w:r w:rsidR="00CE764C" w:rsidRPr="00156713">
        <w:rPr>
          <w:rFonts w:ascii="Arial" w:hAnsi="Arial" w:cs="Arial"/>
          <w:bCs/>
          <w:color w:val="000000"/>
          <w:sz w:val="20"/>
          <w:szCs w:val="20"/>
          <w:lang w:val="en-IE"/>
        </w:rPr>
        <w:t xml:space="preserve"> the following change</w:t>
      </w:r>
      <w:r w:rsidRPr="00156713">
        <w:rPr>
          <w:rFonts w:ascii="Arial" w:hAnsi="Arial" w:cs="Arial"/>
          <w:bCs/>
          <w:color w:val="000000"/>
          <w:sz w:val="20"/>
          <w:szCs w:val="20"/>
          <w:lang w:val="en-IE"/>
        </w:rPr>
        <w:t xml:space="preserve"> to the plan in question.</w:t>
      </w:r>
    </w:p>
    <w:p w:rsidR="00205148" w:rsidRPr="00156713" w:rsidRDefault="00205148" w:rsidP="00156713">
      <w:pPr>
        <w:pStyle w:val="ListParagraph"/>
        <w:numPr>
          <w:ilvl w:val="0"/>
          <w:numId w:val="1"/>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Seeks in accordance with the Urban Reg</w:t>
      </w:r>
      <w:r w:rsidR="00CE764C" w:rsidRPr="00156713">
        <w:rPr>
          <w:rFonts w:ascii="Arial" w:hAnsi="Arial" w:cs="Arial"/>
          <w:bCs/>
          <w:color w:val="000000"/>
          <w:sz w:val="20"/>
          <w:szCs w:val="20"/>
          <w:lang w:val="en-IE"/>
        </w:rPr>
        <w:t xml:space="preserve">eneration and Housing Act 2015 </w:t>
      </w:r>
      <w:r w:rsidRPr="00156713">
        <w:rPr>
          <w:rFonts w:ascii="Arial" w:hAnsi="Arial" w:cs="Arial"/>
          <w:bCs/>
          <w:color w:val="000000"/>
          <w:sz w:val="20"/>
          <w:szCs w:val="20"/>
          <w:lang w:val="en-IE"/>
        </w:rPr>
        <w:t xml:space="preserve">to integrate specific objectives which will identify and encourage the development and renewal of identified areas in need of regeneration or residential development and </w:t>
      </w:r>
      <w:r w:rsidR="00CE764C" w:rsidRPr="00156713">
        <w:rPr>
          <w:rFonts w:ascii="Arial" w:hAnsi="Arial" w:cs="Arial"/>
          <w:bCs/>
          <w:color w:val="000000"/>
          <w:sz w:val="20"/>
          <w:szCs w:val="20"/>
          <w:lang w:val="en-IE"/>
        </w:rPr>
        <w:t>s</w:t>
      </w:r>
      <w:r w:rsidRPr="00156713">
        <w:rPr>
          <w:rFonts w:ascii="Arial" w:hAnsi="Arial" w:cs="Arial"/>
          <w:bCs/>
          <w:color w:val="000000"/>
          <w:sz w:val="20"/>
          <w:szCs w:val="20"/>
          <w:lang w:val="en-IE"/>
        </w:rPr>
        <w:t xml:space="preserve">pecify the areas identified in need of regeneration or residential </w:t>
      </w:r>
      <w:r w:rsidR="00AA468F" w:rsidRPr="00156713">
        <w:rPr>
          <w:rFonts w:ascii="Arial" w:hAnsi="Arial" w:cs="Arial"/>
          <w:bCs/>
          <w:color w:val="000000"/>
          <w:sz w:val="20"/>
          <w:szCs w:val="20"/>
          <w:lang w:val="en-IE"/>
        </w:rPr>
        <w:t xml:space="preserve">development.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proposed variation has been prepared in accordance with the provisions of Section 13(2) of the Planning and Development Act 2000 (as amended)</w:t>
      </w:r>
      <w:r w:rsidR="007F143E" w:rsidRPr="00156713">
        <w:rPr>
          <w:rFonts w:ascii="Arial" w:hAnsi="Arial" w:cs="Arial"/>
          <w:bCs/>
          <w:color w:val="000000"/>
          <w:sz w:val="20"/>
          <w:szCs w:val="20"/>
          <w:lang w:val="en-IE"/>
        </w:rPr>
        <w:t>.</w:t>
      </w:r>
    </w:p>
    <w:p w:rsidR="00205148"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1.2 </w:t>
      </w:r>
      <w:r w:rsidR="00205148" w:rsidRPr="00156713">
        <w:rPr>
          <w:rFonts w:ascii="Arial" w:hAnsi="Arial" w:cs="Arial"/>
          <w:b/>
          <w:bCs/>
          <w:color w:val="000000"/>
          <w:sz w:val="20"/>
          <w:szCs w:val="20"/>
          <w:lang w:val="en-IE"/>
        </w:rPr>
        <w:t xml:space="preserve">Background to Proposed Variation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The Urban Regeneration and Housing Act 2015 which was signed into law in July 2015 </w:t>
      </w:r>
      <w:proofErr w:type="gramStart"/>
      <w:r w:rsidRPr="00156713">
        <w:rPr>
          <w:rFonts w:ascii="Arial" w:hAnsi="Arial" w:cs="Arial"/>
          <w:bCs/>
          <w:color w:val="000000"/>
          <w:sz w:val="20"/>
          <w:szCs w:val="20"/>
          <w:lang w:val="en-IE"/>
        </w:rPr>
        <w:t>is</w:t>
      </w:r>
      <w:proofErr w:type="gramEnd"/>
      <w:r w:rsidRPr="00156713">
        <w:rPr>
          <w:rFonts w:ascii="Arial" w:hAnsi="Arial" w:cs="Arial"/>
          <w:bCs/>
          <w:color w:val="000000"/>
          <w:sz w:val="20"/>
          <w:szCs w:val="20"/>
          <w:lang w:val="en-IE"/>
        </w:rPr>
        <w:t xml:space="preserve"> premised on addressing matters nationally in terms of regeneration and housing supply. The Act aims to encourage urban regeneration with an emphasis placed on facilitating increased activity in the residential sector. The Vacant Site Levy was introduced under the legislation, as a site activation measure which is required to be integrated as part of the planning process, in seeking to ensure that vacant or underutilised land in urban areas is brought into beneficial use, in order to prevent </w:t>
      </w:r>
    </w:p>
    <w:p w:rsidR="00205148" w:rsidRPr="00156713" w:rsidRDefault="00205148" w:rsidP="00156713">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Adverse effects on existing amenities in such areas, in particular as a result of ruinous or neglected condition of any land </w:t>
      </w:r>
    </w:p>
    <w:p w:rsidR="00205148" w:rsidRPr="00156713" w:rsidRDefault="00205148" w:rsidP="00156713">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Urban blight and decay </w:t>
      </w:r>
    </w:p>
    <w:p w:rsidR="00205148" w:rsidRPr="00156713" w:rsidRDefault="00205148" w:rsidP="00156713">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Anti social behaviour, or </w:t>
      </w:r>
    </w:p>
    <w:p w:rsidR="00205148" w:rsidRPr="00156713" w:rsidRDefault="00205148" w:rsidP="00156713">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 shortage of habitable houses or of land suitable for residential use or a mixture of residential or other uses.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In making provision for the Vacant Site Levy in development plans, the Urban Regeneration and Housing Act 2015 requires Planning Authorities in the first instance to incorporate mandatory objective(s) to support Urban Regeneration and also to indicate areas within the County to which the equitable application of the levy can occur.</w:t>
      </w:r>
    </w:p>
    <w:p w:rsidR="00205148"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1.3 </w:t>
      </w:r>
      <w:r w:rsidR="00205148" w:rsidRPr="00156713">
        <w:rPr>
          <w:rFonts w:ascii="Arial" w:hAnsi="Arial" w:cs="Arial"/>
          <w:b/>
          <w:bCs/>
          <w:color w:val="000000"/>
          <w:sz w:val="20"/>
          <w:szCs w:val="20"/>
          <w:lang w:val="en-IE"/>
        </w:rPr>
        <w:t xml:space="preserve">Rationale to Proposed Variation </w:t>
      </w:r>
    </w:p>
    <w:p w:rsidR="00CE764C"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purpose of this Variation is to incorporate the provisions of the Urban Regeneration and Housing Act 2015 regarding the Vacant Site Levy and urban renewal and regeneration into the Cavan County Development Plan 2014-2020. As the review of the Cavan County Development Plan 2014-2020 is no</w:t>
      </w:r>
      <w:r w:rsidR="00CE764C" w:rsidRPr="00156713">
        <w:rPr>
          <w:rFonts w:ascii="Arial" w:hAnsi="Arial" w:cs="Arial"/>
          <w:bCs/>
          <w:color w:val="000000"/>
          <w:sz w:val="20"/>
          <w:szCs w:val="20"/>
          <w:lang w:val="en-IE"/>
        </w:rPr>
        <w:t xml:space="preserve">t due to commence </w:t>
      </w:r>
      <w:r w:rsidR="00CE764C" w:rsidRPr="00610C12">
        <w:rPr>
          <w:rFonts w:ascii="Arial" w:hAnsi="Arial" w:cs="Arial"/>
          <w:bCs/>
          <w:color w:val="000000"/>
          <w:sz w:val="20"/>
          <w:szCs w:val="20"/>
          <w:lang w:val="en-IE"/>
        </w:rPr>
        <w:t>until June</w:t>
      </w:r>
      <w:r w:rsidRPr="00610C12">
        <w:rPr>
          <w:rFonts w:ascii="Arial" w:hAnsi="Arial" w:cs="Arial"/>
          <w:bCs/>
          <w:color w:val="000000"/>
          <w:sz w:val="20"/>
          <w:szCs w:val="20"/>
          <w:lang w:val="en-IE"/>
        </w:rPr>
        <w:t xml:space="preserve"> 2018,</w:t>
      </w:r>
      <w:r w:rsidRPr="00156713">
        <w:rPr>
          <w:rFonts w:ascii="Arial" w:hAnsi="Arial" w:cs="Arial"/>
          <w:bCs/>
          <w:color w:val="000000"/>
          <w:sz w:val="20"/>
          <w:szCs w:val="20"/>
          <w:lang w:val="en-IE"/>
        </w:rPr>
        <w:t xml:space="preserve"> the suggested mechanism to adhere to the new provisions of the legislation is through the variation process</w:t>
      </w:r>
      <w:r w:rsidR="007F143E" w:rsidRPr="00156713">
        <w:rPr>
          <w:rFonts w:ascii="Arial" w:hAnsi="Arial" w:cs="Arial"/>
          <w:bCs/>
          <w:color w:val="000000"/>
          <w:sz w:val="20"/>
          <w:szCs w:val="20"/>
          <w:lang w:val="en-IE"/>
        </w:rPr>
        <w:t>.</w:t>
      </w:r>
    </w:p>
    <w:p w:rsidR="005A117C" w:rsidRDefault="005A117C" w:rsidP="00156713">
      <w:pPr>
        <w:autoSpaceDE w:val="0"/>
        <w:autoSpaceDN w:val="0"/>
        <w:adjustRightInd w:val="0"/>
        <w:spacing w:after="0" w:line="360" w:lineRule="auto"/>
        <w:jc w:val="both"/>
        <w:rPr>
          <w:rFonts w:ascii="Arial" w:hAnsi="Arial" w:cs="Arial"/>
          <w:bCs/>
          <w:color w:val="000000"/>
          <w:sz w:val="20"/>
          <w:szCs w:val="20"/>
          <w:lang w:val="en-IE"/>
        </w:rPr>
      </w:pPr>
    </w:p>
    <w:p w:rsidR="005A117C" w:rsidRDefault="005A117C" w:rsidP="00156713">
      <w:pPr>
        <w:autoSpaceDE w:val="0"/>
        <w:autoSpaceDN w:val="0"/>
        <w:adjustRightInd w:val="0"/>
        <w:spacing w:after="0" w:line="360" w:lineRule="auto"/>
        <w:jc w:val="both"/>
        <w:rPr>
          <w:rFonts w:ascii="Arial" w:hAnsi="Arial" w:cs="Arial"/>
          <w:bCs/>
          <w:color w:val="000000"/>
          <w:sz w:val="20"/>
          <w:szCs w:val="20"/>
          <w:lang w:val="en-IE"/>
        </w:rPr>
      </w:pPr>
    </w:p>
    <w:p w:rsidR="005A117C" w:rsidRDefault="005A117C" w:rsidP="00156713">
      <w:pPr>
        <w:autoSpaceDE w:val="0"/>
        <w:autoSpaceDN w:val="0"/>
        <w:adjustRightInd w:val="0"/>
        <w:spacing w:after="0" w:line="360" w:lineRule="auto"/>
        <w:jc w:val="both"/>
        <w:rPr>
          <w:rFonts w:ascii="Arial" w:hAnsi="Arial" w:cs="Arial"/>
          <w:bCs/>
          <w:color w:val="000000"/>
          <w:sz w:val="20"/>
          <w:szCs w:val="20"/>
          <w:lang w:val="en-IE"/>
        </w:rPr>
      </w:pPr>
    </w:p>
    <w:p w:rsidR="005A117C" w:rsidRDefault="005A117C" w:rsidP="00156713">
      <w:pPr>
        <w:autoSpaceDE w:val="0"/>
        <w:autoSpaceDN w:val="0"/>
        <w:adjustRightInd w:val="0"/>
        <w:spacing w:after="0" w:line="360" w:lineRule="auto"/>
        <w:jc w:val="both"/>
        <w:rPr>
          <w:rFonts w:ascii="Arial" w:hAnsi="Arial" w:cs="Arial"/>
          <w:bCs/>
          <w:color w:val="000000"/>
          <w:sz w:val="20"/>
          <w:szCs w:val="20"/>
          <w:lang w:val="en-IE"/>
        </w:rPr>
      </w:pPr>
    </w:p>
    <w:p w:rsidR="005A117C" w:rsidRPr="00156713" w:rsidRDefault="005A117C" w:rsidP="00156713">
      <w:pPr>
        <w:autoSpaceDE w:val="0"/>
        <w:autoSpaceDN w:val="0"/>
        <w:adjustRightInd w:val="0"/>
        <w:spacing w:after="0" w:line="360" w:lineRule="auto"/>
        <w:jc w:val="both"/>
        <w:rPr>
          <w:rFonts w:ascii="Arial" w:hAnsi="Arial" w:cs="Arial"/>
          <w:bCs/>
          <w:color w:val="000000"/>
          <w:sz w:val="20"/>
          <w:szCs w:val="20"/>
          <w:lang w:val="en-IE"/>
        </w:rPr>
      </w:pPr>
    </w:p>
    <w:p w:rsidR="008C319C" w:rsidRPr="00156713" w:rsidRDefault="008C319C"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2.0 Proposed Variation </w:t>
      </w:r>
    </w:p>
    <w:p w:rsidR="00205148" w:rsidRPr="00156713" w:rsidRDefault="008C319C"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2.1 </w:t>
      </w:r>
      <w:r w:rsidR="00205148" w:rsidRPr="00156713">
        <w:rPr>
          <w:rFonts w:ascii="Arial" w:hAnsi="Arial" w:cs="Arial"/>
          <w:b/>
          <w:bCs/>
          <w:color w:val="000000"/>
          <w:sz w:val="20"/>
          <w:szCs w:val="20"/>
          <w:lang w:val="en-IE"/>
        </w:rPr>
        <w:t xml:space="preserve">Application of the new objective on existing land use zonings </w:t>
      </w:r>
      <w:r w:rsidRPr="00156713">
        <w:rPr>
          <w:rFonts w:ascii="Arial" w:hAnsi="Arial" w:cs="Arial"/>
          <w:b/>
          <w:bCs/>
          <w:color w:val="000000"/>
          <w:sz w:val="20"/>
          <w:szCs w:val="20"/>
          <w:lang w:val="en-IE"/>
        </w:rPr>
        <w:t xml:space="preserve">for Residential Lands </w:t>
      </w:r>
    </w:p>
    <w:p w:rsidR="00205148"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Cs/>
          <w:color w:val="000000"/>
          <w:sz w:val="20"/>
          <w:szCs w:val="20"/>
          <w:lang w:val="en-IE"/>
        </w:rPr>
        <w:lastRenderedPageBreak/>
        <w:t xml:space="preserve">Section 3 of the 2015 Act defines ‘residential land’ as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‘...land included by a planning authority in its development plan or local area plan.....with the objective of zoning solely or primarily for residential purposes, and includes any structures on such land.’</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p>
    <w:p w:rsidR="007C115D"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Cs/>
          <w:color w:val="000000"/>
          <w:sz w:val="20"/>
          <w:szCs w:val="20"/>
          <w:lang w:val="en-IE"/>
        </w:rPr>
        <w:t>Having regard to the existing land use zonings contained in the Cavan County Development Plan 2014-2020, therefore, ‘Residential Lands</w:t>
      </w:r>
      <w:r w:rsidR="00CE764C" w:rsidRPr="00156713">
        <w:rPr>
          <w:rFonts w:ascii="Arial" w:hAnsi="Arial" w:cs="Arial"/>
          <w:bCs/>
          <w:color w:val="000000"/>
          <w:sz w:val="20"/>
          <w:szCs w:val="20"/>
          <w:lang w:val="en-IE"/>
        </w:rPr>
        <w:t>’</w:t>
      </w:r>
      <w:r w:rsidRPr="00156713">
        <w:rPr>
          <w:rFonts w:ascii="Arial" w:hAnsi="Arial" w:cs="Arial"/>
          <w:bCs/>
          <w:color w:val="000000"/>
          <w:sz w:val="20"/>
          <w:szCs w:val="20"/>
          <w:lang w:val="en-IE"/>
        </w:rPr>
        <w:t xml:space="preserve"> applies to the following </w:t>
      </w:r>
      <w:r w:rsidR="00CE764C" w:rsidRPr="00156713">
        <w:rPr>
          <w:rFonts w:ascii="Arial" w:hAnsi="Arial" w:cs="Arial"/>
          <w:bCs/>
          <w:color w:val="000000"/>
          <w:sz w:val="20"/>
          <w:szCs w:val="20"/>
          <w:lang w:val="en-IE"/>
        </w:rPr>
        <w:t xml:space="preserve">zonings </w:t>
      </w:r>
    </w:p>
    <w:p w:rsidR="00205148" w:rsidRPr="00156713" w:rsidRDefault="00530460" w:rsidP="00156713">
      <w:pPr>
        <w:pStyle w:val="ListParagraph"/>
        <w:numPr>
          <w:ilvl w:val="0"/>
          <w:numId w:val="12"/>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007C115D" w:rsidRPr="00156713">
        <w:rPr>
          <w:rFonts w:ascii="Arial" w:hAnsi="Arial" w:cs="Arial"/>
          <w:b/>
          <w:bCs/>
          <w:color w:val="000000"/>
          <w:sz w:val="20"/>
          <w:szCs w:val="20"/>
          <w:lang w:val="en-IE"/>
        </w:rPr>
        <w:t>Town Core</w:t>
      </w:r>
      <w:r w:rsidR="007C115D" w:rsidRPr="00156713">
        <w:rPr>
          <w:rFonts w:ascii="Arial" w:hAnsi="Arial" w:cs="Arial"/>
          <w:bCs/>
          <w:color w:val="000000"/>
          <w:sz w:val="20"/>
          <w:szCs w:val="20"/>
          <w:lang w:val="en-IE"/>
        </w:rPr>
        <w:t xml:space="preserve"> </w:t>
      </w:r>
      <w:r w:rsidR="00205148" w:rsidRPr="00156713">
        <w:rPr>
          <w:rFonts w:ascii="Arial" w:hAnsi="Arial" w:cs="Arial"/>
          <w:bCs/>
          <w:color w:val="000000"/>
          <w:sz w:val="20"/>
          <w:szCs w:val="20"/>
          <w:lang w:val="en-IE"/>
        </w:rPr>
        <w:t xml:space="preserve"> – objective </w:t>
      </w:r>
      <w:r w:rsidR="007C115D" w:rsidRPr="00156713">
        <w:rPr>
          <w:rFonts w:ascii="Arial" w:hAnsi="Arial" w:cs="Arial"/>
          <w:bCs/>
          <w:color w:val="000000"/>
          <w:sz w:val="20"/>
          <w:szCs w:val="20"/>
          <w:lang w:val="en-IE"/>
        </w:rPr>
        <w:t xml:space="preserve">is that this establishes the </w:t>
      </w:r>
      <w:r w:rsidR="00AA468F" w:rsidRPr="00156713">
        <w:rPr>
          <w:rFonts w:ascii="Arial" w:hAnsi="Arial" w:cs="Arial"/>
          <w:bCs/>
          <w:color w:val="000000"/>
          <w:sz w:val="20"/>
          <w:szCs w:val="20"/>
          <w:lang w:val="en-IE"/>
        </w:rPr>
        <w:t>extent</w:t>
      </w:r>
      <w:r w:rsidR="007C115D" w:rsidRPr="00156713">
        <w:rPr>
          <w:rFonts w:ascii="Arial" w:hAnsi="Arial" w:cs="Arial"/>
          <w:bCs/>
          <w:color w:val="000000"/>
          <w:sz w:val="20"/>
          <w:szCs w:val="20"/>
          <w:lang w:val="en-IE"/>
        </w:rPr>
        <w:t xml:space="preserve"> of the town core and identifies the most suitable location for a mix of retail, commercial, </w:t>
      </w:r>
      <w:r w:rsidR="00AA468F" w:rsidRPr="00156713">
        <w:rPr>
          <w:rFonts w:ascii="Arial" w:hAnsi="Arial" w:cs="Arial"/>
          <w:bCs/>
          <w:color w:val="000000"/>
          <w:sz w:val="20"/>
          <w:szCs w:val="20"/>
          <w:lang w:val="en-IE"/>
        </w:rPr>
        <w:t>residential</w:t>
      </w:r>
      <w:r w:rsidR="007C115D" w:rsidRPr="00156713">
        <w:rPr>
          <w:rFonts w:ascii="Arial" w:hAnsi="Arial" w:cs="Arial"/>
          <w:bCs/>
          <w:color w:val="000000"/>
          <w:sz w:val="20"/>
          <w:szCs w:val="20"/>
          <w:lang w:val="en-IE"/>
        </w:rPr>
        <w:t xml:space="preserve">, cultural and social issues. The overall aim is to strengthen the vitality and viability of the town core by actively facilitating the reuse of </w:t>
      </w:r>
      <w:r w:rsidR="00AA468F" w:rsidRPr="00156713">
        <w:rPr>
          <w:rFonts w:ascii="Arial" w:hAnsi="Arial" w:cs="Arial"/>
          <w:bCs/>
          <w:color w:val="000000"/>
          <w:sz w:val="20"/>
          <w:szCs w:val="20"/>
          <w:lang w:val="en-IE"/>
        </w:rPr>
        <w:t>existing</w:t>
      </w:r>
      <w:r w:rsidR="007C115D" w:rsidRPr="00156713">
        <w:rPr>
          <w:rFonts w:ascii="Arial" w:hAnsi="Arial" w:cs="Arial"/>
          <w:bCs/>
          <w:color w:val="000000"/>
          <w:sz w:val="20"/>
          <w:szCs w:val="20"/>
          <w:lang w:val="en-IE"/>
        </w:rPr>
        <w:t xml:space="preserve"> buildings, as well as brownfield and Greenfield sites</w:t>
      </w:r>
      <w:r w:rsidR="00205148" w:rsidRPr="00156713">
        <w:rPr>
          <w:rFonts w:ascii="Arial" w:hAnsi="Arial" w:cs="Arial"/>
          <w:bCs/>
          <w:color w:val="000000"/>
          <w:sz w:val="20"/>
          <w:szCs w:val="20"/>
          <w:lang w:val="en-IE"/>
        </w:rPr>
        <w:t>. Residential is permitted in principle in the land use zoning.</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p>
    <w:p w:rsidR="008A2D01" w:rsidRPr="00156713" w:rsidRDefault="00530460" w:rsidP="00156713">
      <w:pPr>
        <w:pStyle w:val="ListParagraph"/>
        <w:numPr>
          <w:ilvl w:val="0"/>
          <w:numId w:val="12"/>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00205148" w:rsidRPr="00156713">
        <w:rPr>
          <w:rFonts w:ascii="Arial" w:hAnsi="Arial" w:cs="Arial"/>
          <w:b/>
          <w:bCs/>
          <w:color w:val="000000"/>
          <w:sz w:val="20"/>
          <w:szCs w:val="20"/>
          <w:lang w:val="en-IE"/>
        </w:rPr>
        <w:t>Existing Residential</w:t>
      </w:r>
      <w:r w:rsidR="00205148" w:rsidRPr="00156713">
        <w:rPr>
          <w:rFonts w:ascii="Arial" w:hAnsi="Arial" w:cs="Arial"/>
          <w:bCs/>
          <w:color w:val="000000"/>
          <w:sz w:val="20"/>
          <w:szCs w:val="20"/>
          <w:lang w:val="en-IE"/>
        </w:rPr>
        <w:t xml:space="preserve"> –objective to </w:t>
      </w:r>
      <w:r w:rsidR="008A2D01" w:rsidRPr="00156713">
        <w:rPr>
          <w:rFonts w:ascii="Arial" w:hAnsi="Arial" w:cs="Arial"/>
          <w:bCs/>
          <w:color w:val="000000"/>
          <w:sz w:val="20"/>
          <w:szCs w:val="20"/>
          <w:lang w:val="en-IE"/>
        </w:rPr>
        <w:t xml:space="preserve">promote the development of balanced communities and ensure that any new development in existing </w:t>
      </w:r>
      <w:r w:rsidR="00AA468F" w:rsidRPr="00156713">
        <w:rPr>
          <w:rFonts w:ascii="Arial" w:hAnsi="Arial" w:cs="Arial"/>
          <w:bCs/>
          <w:color w:val="000000"/>
          <w:sz w:val="20"/>
          <w:szCs w:val="20"/>
          <w:lang w:val="en-IE"/>
        </w:rPr>
        <w:t>residential</w:t>
      </w:r>
      <w:r w:rsidR="008A2D01" w:rsidRPr="00156713">
        <w:rPr>
          <w:rFonts w:ascii="Arial" w:hAnsi="Arial" w:cs="Arial"/>
          <w:bCs/>
          <w:color w:val="000000"/>
          <w:sz w:val="20"/>
          <w:szCs w:val="20"/>
          <w:lang w:val="en-IE"/>
        </w:rPr>
        <w:t xml:space="preserve"> areas would have minimal impact on existing residential amenity. </w:t>
      </w:r>
    </w:p>
    <w:p w:rsidR="00205148" w:rsidRPr="00156713" w:rsidRDefault="00205148" w:rsidP="00156713">
      <w:pPr>
        <w:autoSpaceDE w:val="0"/>
        <w:autoSpaceDN w:val="0"/>
        <w:adjustRightInd w:val="0"/>
        <w:spacing w:after="0" w:line="360" w:lineRule="auto"/>
        <w:jc w:val="both"/>
        <w:rPr>
          <w:rFonts w:ascii="Arial" w:hAnsi="Arial" w:cs="Arial"/>
          <w:bCs/>
          <w:color w:val="000000"/>
          <w:sz w:val="20"/>
          <w:szCs w:val="20"/>
          <w:lang w:val="en-IE"/>
        </w:rPr>
      </w:pPr>
    </w:p>
    <w:p w:rsidR="007C115D" w:rsidRPr="00156713" w:rsidRDefault="00530460" w:rsidP="00156713">
      <w:pPr>
        <w:pStyle w:val="ListParagraph"/>
        <w:numPr>
          <w:ilvl w:val="0"/>
          <w:numId w:val="12"/>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007C115D" w:rsidRPr="00156713">
        <w:rPr>
          <w:rFonts w:ascii="Arial" w:hAnsi="Arial" w:cs="Arial"/>
          <w:b/>
          <w:bCs/>
          <w:color w:val="000000"/>
          <w:sz w:val="20"/>
          <w:szCs w:val="20"/>
          <w:lang w:val="en-IE"/>
        </w:rPr>
        <w:t xml:space="preserve">Proposed </w:t>
      </w:r>
      <w:r w:rsidR="008A2D01" w:rsidRPr="00156713">
        <w:rPr>
          <w:rFonts w:ascii="Arial" w:hAnsi="Arial" w:cs="Arial"/>
          <w:b/>
          <w:bCs/>
          <w:color w:val="000000"/>
          <w:sz w:val="20"/>
          <w:szCs w:val="20"/>
          <w:lang w:val="en-IE"/>
        </w:rPr>
        <w:t>Residential</w:t>
      </w:r>
      <w:r w:rsidR="007C115D" w:rsidRPr="00156713">
        <w:rPr>
          <w:rFonts w:ascii="Arial" w:hAnsi="Arial" w:cs="Arial"/>
          <w:bCs/>
          <w:color w:val="000000"/>
          <w:sz w:val="20"/>
          <w:szCs w:val="20"/>
          <w:lang w:val="en-IE"/>
        </w:rPr>
        <w:t xml:space="preserve"> – objective is to provide for </w:t>
      </w:r>
      <w:r w:rsidR="008A2D01" w:rsidRPr="00156713">
        <w:rPr>
          <w:rFonts w:ascii="Arial" w:hAnsi="Arial" w:cs="Arial"/>
          <w:bCs/>
          <w:color w:val="000000"/>
          <w:sz w:val="20"/>
          <w:szCs w:val="20"/>
          <w:lang w:val="en-IE"/>
        </w:rPr>
        <w:t>residential</w:t>
      </w:r>
      <w:r w:rsidR="007C115D" w:rsidRPr="00156713">
        <w:rPr>
          <w:rFonts w:ascii="Arial" w:hAnsi="Arial" w:cs="Arial"/>
          <w:bCs/>
          <w:color w:val="000000"/>
          <w:sz w:val="20"/>
          <w:szCs w:val="20"/>
          <w:lang w:val="en-IE"/>
        </w:rPr>
        <w:t xml:space="preserve"> development and to protect and improve </w:t>
      </w:r>
      <w:r w:rsidR="008A2D01" w:rsidRPr="00156713">
        <w:rPr>
          <w:rFonts w:ascii="Arial" w:hAnsi="Arial" w:cs="Arial"/>
          <w:bCs/>
          <w:color w:val="000000"/>
          <w:sz w:val="20"/>
          <w:szCs w:val="20"/>
          <w:lang w:val="en-IE"/>
        </w:rPr>
        <w:t>residential</w:t>
      </w:r>
      <w:r w:rsidR="007C115D" w:rsidRPr="00156713">
        <w:rPr>
          <w:rFonts w:ascii="Arial" w:hAnsi="Arial" w:cs="Arial"/>
          <w:bCs/>
          <w:color w:val="000000"/>
          <w:sz w:val="20"/>
          <w:szCs w:val="20"/>
          <w:lang w:val="en-IE"/>
        </w:rPr>
        <w:t xml:space="preserve"> amenity.</w:t>
      </w:r>
    </w:p>
    <w:p w:rsidR="00B836F4" w:rsidRPr="00156713" w:rsidRDefault="00B836F4" w:rsidP="00156713">
      <w:pPr>
        <w:pStyle w:val="ListParagraph"/>
        <w:spacing w:line="360" w:lineRule="auto"/>
        <w:jc w:val="both"/>
        <w:rPr>
          <w:rFonts w:ascii="Arial" w:hAnsi="Arial" w:cs="Arial"/>
          <w:bCs/>
          <w:color w:val="000000"/>
          <w:sz w:val="20"/>
          <w:szCs w:val="20"/>
          <w:lang w:val="en-IE"/>
        </w:rPr>
      </w:pPr>
    </w:p>
    <w:p w:rsidR="00530460" w:rsidRPr="00156713" w:rsidRDefault="00530460" w:rsidP="00156713">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Pr="00156713">
        <w:rPr>
          <w:rFonts w:ascii="Arial" w:hAnsi="Arial" w:cs="Arial"/>
          <w:b/>
          <w:bCs/>
          <w:color w:val="000000"/>
          <w:sz w:val="20"/>
          <w:szCs w:val="20"/>
          <w:lang w:val="en-IE"/>
        </w:rPr>
        <w:t>Residential, Mixed Use and other Uses</w:t>
      </w:r>
      <w:r w:rsidR="00CE764C" w:rsidRPr="00156713">
        <w:rPr>
          <w:rFonts w:ascii="Arial" w:hAnsi="Arial" w:cs="Arial"/>
          <w:b/>
          <w:bCs/>
          <w:color w:val="000000"/>
          <w:sz w:val="20"/>
          <w:szCs w:val="20"/>
          <w:lang w:val="en-IE"/>
        </w:rPr>
        <w:t xml:space="preserve"> (Virginia)</w:t>
      </w:r>
    </w:p>
    <w:p w:rsidR="00530460" w:rsidRPr="00156713" w:rsidRDefault="00530460" w:rsidP="00156713">
      <w:pPr>
        <w:autoSpaceDE w:val="0"/>
        <w:autoSpaceDN w:val="0"/>
        <w:adjustRightInd w:val="0"/>
        <w:spacing w:after="0" w:line="360" w:lineRule="auto"/>
        <w:ind w:left="360"/>
        <w:jc w:val="both"/>
        <w:rPr>
          <w:rFonts w:ascii="Arial" w:hAnsi="Arial" w:cs="Arial"/>
          <w:bCs/>
          <w:color w:val="000000"/>
          <w:sz w:val="20"/>
          <w:szCs w:val="20"/>
          <w:lang w:val="en-IE"/>
        </w:rPr>
      </w:pPr>
      <w:proofErr w:type="gramStart"/>
      <w:r w:rsidRPr="00156713">
        <w:rPr>
          <w:rFonts w:ascii="Arial" w:hAnsi="Arial" w:cs="Arial"/>
          <w:bCs/>
          <w:color w:val="000000"/>
          <w:sz w:val="20"/>
          <w:szCs w:val="20"/>
          <w:lang w:val="en-IE"/>
        </w:rPr>
        <w:t>Provides for a mix of residential development and other uses which would allow for both an expansion of the residential, employment and economic development of the town without detracting from the town core.</w:t>
      </w:r>
      <w:proofErr w:type="gramEnd"/>
      <w:r w:rsidRPr="00156713">
        <w:rPr>
          <w:rFonts w:ascii="Arial" w:hAnsi="Arial" w:cs="Arial"/>
          <w:bCs/>
          <w:color w:val="000000"/>
          <w:sz w:val="20"/>
          <w:szCs w:val="20"/>
          <w:lang w:val="en-IE"/>
        </w:rPr>
        <w:t xml:space="preserve"> </w:t>
      </w:r>
    </w:p>
    <w:p w:rsidR="007F143E" w:rsidRPr="00156713" w:rsidRDefault="007F143E" w:rsidP="00156713">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These zoning apply to the following towns – Belturbet, Ballyconnell, Ballyjamesduff, Cootehill, Kingscourt, Virginia, Bailieboro, </w:t>
      </w:r>
      <w:proofErr w:type="gramStart"/>
      <w:r w:rsidRPr="00156713">
        <w:rPr>
          <w:rFonts w:ascii="Arial" w:hAnsi="Arial" w:cs="Arial"/>
          <w:bCs/>
          <w:color w:val="000000"/>
          <w:sz w:val="20"/>
          <w:szCs w:val="20"/>
          <w:lang w:val="en-IE"/>
        </w:rPr>
        <w:t>Mullagh</w:t>
      </w:r>
      <w:proofErr w:type="gramEnd"/>
      <w:r w:rsidRPr="00156713">
        <w:rPr>
          <w:rFonts w:ascii="Arial" w:hAnsi="Arial" w:cs="Arial"/>
          <w:bCs/>
          <w:color w:val="000000"/>
          <w:sz w:val="20"/>
          <w:szCs w:val="20"/>
          <w:lang w:val="en-IE"/>
        </w:rPr>
        <w:t>.</w:t>
      </w:r>
    </w:p>
    <w:p w:rsidR="00205148" w:rsidRPr="00156713" w:rsidRDefault="00205148" w:rsidP="00156713">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156713">
      <w:pPr>
        <w:autoSpaceDE w:val="0"/>
        <w:autoSpaceDN w:val="0"/>
        <w:adjustRightInd w:val="0"/>
        <w:spacing w:after="0" w:line="360" w:lineRule="auto"/>
        <w:rPr>
          <w:rFonts w:ascii="Arial" w:hAnsi="Arial" w:cs="Arial"/>
          <w:b/>
          <w:bCs/>
          <w:color w:val="000000"/>
          <w:sz w:val="20"/>
          <w:szCs w:val="20"/>
          <w:lang w:val="en-IE"/>
        </w:rPr>
      </w:pPr>
      <w:r w:rsidRPr="00156713">
        <w:rPr>
          <w:rFonts w:ascii="Arial" w:hAnsi="Arial" w:cs="Arial"/>
          <w:b/>
          <w:bCs/>
          <w:color w:val="000000"/>
          <w:sz w:val="20"/>
          <w:szCs w:val="20"/>
          <w:lang w:val="en-IE"/>
        </w:rPr>
        <w:t xml:space="preserve">2.2 </w:t>
      </w:r>
      <w:r w:rsidR="00205148" w:rsidRPr="00156713">
        <w:rPr>
          <w:rFonts w:ascii="Arial" w:hAnsi="Arial" w:cs="Arial"/>
          <w:b/>
          <w:bCs/>
          <w:color w:val="000000"/>
          <w:sz w:val="20"/>
          <w:szCs w:val="20"/>
          <w:lang w:val="en-IE"/>
        </w:rPr>
        <w:t>Determination of need for housing under Section 6(4) of the Urban Regeneration and Housing Act 2015</w:t>
      </w:r>
    </w:p>
    <w:p w:rsidR="00205148" w:rsidRPr="00156713" w:rsidRDefault="00205148" w:rsidP="00156713">
      <w:pPr>
        <w:autoSpaceDE w:val="0"/>
        <w:autoSpaceDN w:val="0"/>
        <w:adjustRightInd w:val="0"/>
        <w:spacing w:after="0" w:line="360" w:lineRule="auto"/>
        <w:rPr>
          <w:rFonts w:ascii="Arial" w:hAnsi="Arial" w:cs="Arial"/>
          <w:b/>
          <w:bCs/>
          <w:color w:val="000000"/>
          <w:sz w:val="20"/>
          <w:szCs w:val="20"/>
          <w:lang w:val="en-IE"/>
        </w:rPr>
      </w:pPr>
    </w:p>
    <w:p w:rsidR="00205148" w:rsidRPr="00156713" w:rsidRDefault="00205148" w:rsidP="00156713">
      <w:p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The local authority’s need</w:t>
      </w:r>
      <w:r w:rsidR="00CE764C" w:rsidRPr="00156713">
        <w:rPr>
          <w:rFonts w:ascii="Arial" w:hAnsi="Arial" w:cs="Arial"/>
          <w:bCs/>
          <w:color w:val="000000"/>
          <w:sz w:val="20"/>
          <w:szCs w:val="20"/>
          <w:lang w:val="en-IE"/>
        </w:rPr>
        <w:t xml:space="preserve"> for housing shall be determined</w:t>
      </w:r>
      <w:r w:rsidRPr="00156713">
        <w:rPr>
          <w:rFonts w:ascii="Arial" w:hAnsi="Arial" w:cs="Arial"/>
          <w:bCs/>
          <w:color w:val="000000"/>
          <w:sz w:val="20"/>
          <w:szCs w:val="20"/>
          <w:lang w:val="en-IE"/>
        </w:rPr>
        <w:t xml:space="preserve"> having regard to </w:t>
      </w:r>
    </w:p>
    <w:p w:rsidR="00205148" w:rsidRPr="00156713" w:rsidRDefault="00205148" w:rsidP="00156713">
      <w:pPr>
        <w:pStyle w:val="ListParagraph"/>
        <w:numPr>
          <w:ilvl w:val="0"/>
          <w:numId w:val="4"/>
        </w:num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 xml:space="preserve">The housing strategy and core strategy of the planning authority </w:t>
      </w:r>
    </w:p>
    <w:p w:rsidR="00205148" w:rsidRPr="00156713" w:rsidRDefault="00205148" w:rsidP="00156713">
      <w:pPr>
        <w:pStyle w:val="ListParagraph"/>
        <w:numPr>
          <w:ilvl w:val="0"/>
          <w:numId w:val="4"/>
        </w:num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House prices and the cost of renting houses in the area</w:t>
      </w:r>
    </w:p>
    <w:p w:rsidR="00205148" w:rsidRPr="00156713" w:rsidRDefault="00205148" w:rsidP="00156713">
      <w:pPr>
        <w:pStyle w:val="ListParagraph"/>
        <w:numPr>
          <w:ilvl w:val="0"/>
          <w:numId w:val="4"/>
        </w:num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 xml:space="preserve">The number of households qualified for social housing support in accordance with section 20 of the Housing Miscellaneous Provisions Act 2009 that have specified the area of choice for the receipt of such support and any changes to that number since the adoption of the planning authority’s development plan, an </w:t>
      </w:r>
    </w:p>
    <w:p w:rsidR="00205148" w:rsidRPr="00156713" w:rsidRDefault="00205148" w:rsidP="00156713">
      <w:pPr>
        <w:pStyle w:val="ListParagraph"/>
        <w:numPr>
          <w:ilvl w:val="0"/>
          <w:numId w:val="4"/>
        </w:num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Whether the number of habitable houses for pur</w:t>
      </w:r>
      <w:r w:rsidR="00CE764C" w:rsidRPr="00156713">
        <w:rPr>
          <w:rFonts w:ascii="Arial" w:hAnsi="Arial" w:cs="Arial"/>
          <w:bCs/>
          <w:color w:val="000000"/>
          <w:sz w:val="20"/>
          <w:szCs w:val="20"/>
          <w:lang w:val="en-IE"/>
        </w:rPr>
        <w:t>chase or rent was less than 5% o</w:t>
      </w:r>
      <w:r w:rsidRPr="00156713">
        <w:rPr>
          <w:rFonts w:ascii="Arial" w:hAnsi="Arial" w:cs="Arial"/>
          <w:bCs/>
          <w:color w:val="000000"/>
          <w:sz w:val="20"/>
          <w:szCs w:val="20"/>
          <w:lang w:val="en-IE"/>
        </w:rPr>
        <w:t xml:space="preserve">f the total number of houses in the area </w:t>
      </w:r>
    </w:p>
    <w:p w:rsidR="00205148" w:rsidRPr="00156713" w:rsidRDefault="00205148" w:rsidP="00156713">
      <w:pPr>
        <w:autoSpaceDE w:val="0"/>
        <w:autoSpaceDN w:val="0"/>
        <w:adjustRightInd w:val="0"/>
        <w:spacing w:after="0" w:line="360" w:lineRule="auto"/>
        <w:rPr>
          <w:rFonts w:ascii="Arial" w:hAnsi="Arial" w:cs="Arial"/>
          <w:bCs/>
          <w:color w:val="000000"/>
          <w:sz w:val="20"/>
          <w:szCs w:val="20"/>
          <w:lang w:val="en-IE"/>
        </w:rPr>
      </w:pPr>
    </w:p>
    <w:p w:rsidR="00205148" w:rsidRPr="00156713" w:rsidRDefault="00205148" w:rsidP="00156713">
      <w:pPr>
        <w:pStyle w:val="ListParagraph"/>
        <w:numPr>
          <w:ilvl w:val="1"/>
          <w:numId w:val="15"/>
        </w:numPr>
        <w:autoSpaceDE w:val="0"/>
        <w:autoSpaceDN w:val="0"/>
        <w:adjustRightInd w:val="0"/>
        <w:spacing w:after="0" w:line="360" w:lineRule="auto"/>
        <w:rPr>
          <w:rFonts w:ascii="Arial" w:hAnsi="Arial" w:cs="Arial"/>
          <w:b/>
          <w:bCs/>
          <w:color w:val="000000"/>
          <w:sz w:val="20"/>
          <w:szCs w:val="20"/>
          <w:lang w:val="en-IE"/>
        </w:rPr>
      </w:pPr>
      <w:r w:rsidRPr="00156713">
        <w:rPr>
          <w:rFonts w:ascii="Arial" w:hAnsi="Arial" w:cs="Arial"/>
          <w:b/>
          <w:bCs/>
          <w:color w:val="000000"/>
          <w:sz w:val="20"/>
          <w:szCs w:val="20"/>
          <w:lang w:val="en-IE"/>
        </w:rPr>
        <w:t xml:space="preserve">Cavan County Development Plan Core Strategy </w:t>
      </w:r>
    </w:p>
    <w:p w:rsidR="00205148" w:rsidRPr="00156713" w:rsidRDefault="00205148" w:rsidP="00156713">
      <w:p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lastRenderedPageBreak/>
        <w:t xml:space="preserve">The Cavan County Development Plan’s Core Strategy sets out the required housing need to meet the target population for the duration of the development plan period up until 2020. </w:t>
      </w:r>
    </w:p>
    <w:p w:rsidR="00205148" w:rsidRPr="00156713" w:rsidRDefault="00205148" w:rsidP="00156713">
      <w:pPr>
        <w:autoSpaceDE w:val="0"/>
        <w:autoSpaceDN w:val="0"/>
        <w:adjustRightInd w:val="0"/>
        <w:spacing w:after="0" w:line="360" w:lineRule="auto"/>
        <w:rPr>
          <w:rFonts w:ascii="Arial" w:hAnsi="Arial" w:cs="Arial"/>
          <w:bCs/>
          <w:color w:val="000000"/>
          <w:sz w:val="20"/>
          <w:szCs w:val="20"/>
          <w:lang w:val="en-IE"/>
        </w:rPr>
      </w:pPr>
    </w:p>
    <w:p w:rsidR="00205148" w:rsidRPr="00156713" w:rsidRDefault="00CE764C" w:rsidP="00156713">
      <w:pPr>
        <w:autoSpaceDE w:val="0"/>
        <w:autoSpaceDN w:val="0"/>
        <w:adjustRightInd w:val="0"/>
        <w:spacing w:after="0" w:line="360" w:lineRule="auto"/>
        <w:rPr>
          <w:rFonts w:ascii="Arial" w:hAnsi="Arial" w:cs="Arial"/>
          <w:bCs/>
          <w:color w:val="000000"/>
          <w:sz w:val="20"/>
          <w:szCs w:val="20"/>
          <w:lang w:val="en-IE"/>
        </w:rPr>
      </w:pPr>
      <w:r w:rsidRPr="00156713">
        <w:rPr>
          <w:rFonts w:ascii="Arial" w:hAnsi="Arial" w:cs="Arial"/>
          <w:bCs/>
          <w:color w:val="000000"/>
          <w:sz w:val="20"/>
          <w:szCs w:val="20"/>
          <w:lang w:val="en-IE"/>
        </w:rPr>
        <w:t>The following T</w:t>
      </w:r>
      <w:r w:rsidR="00205148" w:rsidRPr="00156713">
        <w:rPr>
          <w:rFonts w:ascii="Arial" w:hAnsi="Arial" w:cs="Arial"/>
          <w:bCs/>
          <w:color w:val="000000"/>
          <w:sz w:val="20"/>
          <w:szCs w:val="20"/>
          <w:lang w:val="en-IE"/>
        </w:rPr>
        <w:t xml:space="preserve">able </w:t>
      </w:r>
      <w:r w:rsidRPr="00156713">
        <w:rPr>
          <w:rFonts w:ascii="Arial" w:hAnsi="Arial" w:cs="Arial"/>
          <w:bCs/>
          <w:color w:val="000000"/>
          <w:sz w:val="20"/>
          <w:szCs w:val="20"/>
          <w:lang w:val="en-IE"/>
        </w:rPr>
        <w:t xml:space="preserve">1 </w:t>
      </w:r>
      <w:r w:rsidR="00205148" w:rsidRPr="00156713">
        <w:rPr>
          <w:rFonts w:ascii="Arial" w:hAnsi="Arial" w:cs="Arial"/>
          <w:bCs/>
          <w:color w:val="000000"/>
          <w:sz w:val="20"/>
          <w:szCs w:val="20"/>
          <w:lang w:val="en-IE"/>
        </w:rPr>
        <w:t xml:space="preserve">details the number of residential units required to meet the target population of </w:t>
      </w:r>
      <w:r w:rsidR="005A117C">
        <w:rPr>
          <w:rFonts w:ascii="Arial" w:hAnsi="Arial" w:cs="Arial"/>
          <w:bCs/>
          <w:color w:val="000000"/>
          <w:sz w:val="20"/>
          <w:szCs w:val="20"/>
          <w:lang w:val="en-IE"/>
        </w:rPr>
        <w:t xml:space="preserve">settlements in County Cavan </w:t>
      </w:r>
      <w:r w:rsidR="00205148" w:rsidRPr="00156713">
        <w:rPr>
          <w:rFonts w:ascii="Arial" w:hAnsi="Arial" w:cs="Arial"/>
          <w:bCs/>
          <w:color w:val="000000"/>
          <w:sz w:val="20"/>
          <w:szCs w:val="20"/>
          <w:lang w:val="en-IE"/>
        </w:rPr>
        <w:t>up until 2020.</w:t>
      </w:r>
    </w:p>
    <w:p w:rsidR="00205148" w:rsidRPr="007D6F34" w:rsidRDefault="00205148" w:rsidP="007D6F34">
      <w:pPr>
        <w:autoSpaceDE w:val="0"/>
        <w:autoSpaceDN w:val="0"/>
        <w:adjustRightInd w:val="0"/>
        <w:spacing w:after="0" w:line="360" w:lineRule="auto"/>
        <w:rPr>
          <w:rFonts w:ascii="Arial" w:hAnsi="Arial" w:cs="Arial"/>
          <w:bCs/>
          <w:color w:val="000000"/>
          <w:lang w:val="en-IE"/>
        </w:rPr>
      </w:pPr>
    </w:p>
    <w:p w:rsidR="005E6195" w:rsidRPr="007D6F34" w:rsidRDefault="005E6195" w:rsidP="007D6F34">
      <w:pPr>
        <w:autoSpaceDE w:val="0"/>
        <w:autoSpaceDN w:val="0"/>
        <w:adjustRightInd w:val="0"/>
        <w:spacing w:after="0" w:line="360" w:lineRule="auto"/>
        <w:rPr>
          <w:rFonts w:ascii="Arial" w:hAnsi="Arial" w:cs="Arial"/>
          <w:bCs/>
          <w:color w:val="000000"/>
          <w:lang w:val="en-IE"/>
        </w:rPr>
      </w:pPr>
    </w:p>
    <w:p w:rsidR="005E6195" w:rsidRPr="007D6F34" w:rsidRDefault="005E6195" w:rsidP="007D6F34">
      <w:pPr>
        <w:autoSpaceDE w:val="0"/>
        <w:autoSpaceDN w:val="0"/>
        <w:adjustRightInd w:val="0"/>
        <w:spacing w:after="0" w:line="360" w:lineRule="auto"/>
        <w:rPr>
          <w:rFonts w:ascii="Arial" w:hAnsi="Arial" w:cs="Arial"/>
          <w:bCs/>
          <w:color w:val="000000"/>
          <w:lang w:val="en-IE"/>
        </w:rPr>
      </w:pPr>
    </w:p>
    <w:p w:rsidR="005E6195" w:rsidRPr="007D6F34" w:rsidRDefault="005E6195" w:rsidP="007D6F34">
      <w:pPr>
        <w:autoSpaceDE w:val="0"/>
        <w:autoSpaceDN w:val="0"/>
        <w:adjustRightInd w:val="0"/>
        <w:spacing w:after="0" w:line="360" w:lineRule="auto"/>
        <w:rPr>
          <w:rFonts w:ascii="Arial" w:hAnsi="Arial" w:cs="Arial"/>
          <w:bCs/>
          <w:color w:val="000000"/>
          <w:lang w:val="en-IE"/>
        </w:rPr>
      </w:pPr>
    </w:p>
    <w:p w:rsidR="005E6195" w:rsidRPr="007D6F34" w:rsidRDefault="005E6195" w:rsidP="007D6F34">
      <w:pPr>
        <w:autoSpaceDE w:val="0"/>
        <w:autoSpaceDN w:val="0"/>
        <w:adjustRightInd w:val="0"/>
        <w:spacing w:after="0" w:line="360" w:lineRule="auto"/>
        <w:rPr>
          <w:rFonts w:ascii="Arial" w:hAnsi="Arial" w:cs="Arial"/>
          <w:bCs/>
          <w:color w:val="000000"/>
          <w:lang w:val="en-IE"/>
        </w:rPr>
      </w:pPr>
    </w:p>
    <w:p w:rsidR="005E6195" w:rsidRPr="007D6F34" w:rsidRDefault="005E6195" w:rsidP="007D6F34">
      <w:pPr>
        <w:autoSpaceDE w:val="0"/>
        <w:autoSpaceDN w:val="0"/>
        <w:adjustRightInd w:val="0"/>
        <w:spacing w:after="0" w:line="360" w:lineRule="auto"/>
        <w:rPr>
          <w:rFonts w:ascii="Arial" w:hAnsi="Arial" w:cs="Arial"/>
          <w:bCs/>
          <w:color w:val="000000"/>
          <w:lang w:val="en-IE"/>
        </w:rPr>
      </w:pPr>
    </w:p>
    <w:p w:rsidR="005E6195" w:rsidRDefault="005E6195"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8C762D" w:rsidRDefault="008C762D" w:rsidP="00205148">
      <w:pPr>
        <w:autoSpaceDE w:val="0"/>
        <w:autoSpaceDN w:val="0"/>
        <w:adjustRightInd w:val="0"/>
        <w:spacing w:after="0" w:line="240" w:lineRule="auto"/>
        <w:rPr>
          <w:rFonts w:ascii="Arial" w:hAnsi="Arial" w:cs="Arial"/>
          <w:bCs/>
          <w:color w:val="000000"/>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p>
    <w:p w:rsidR="007F143E" w:rsidRDefault="007F143E" w:rsidP="00205148">
      <w:pPr>
        <w:autoSpaceDE w:val="0"/>
        <w:autoSpaceDN w:val="0"/>
        <w:adjustRightInd w:val="0"/>
        <w:spacing w:after="0" w:line="240" w:lineRule="auto"/>
        <w:rPr>
          <w:rFonts w:ascii="Arial" w:hAnsi="Arial" w:cs="Arial"/>
          <w:bCs/>
          <w:color w:val="000000"/>
          <w:sz w:val="24"/>
          <w:szCs w:val="24"/>
          <w:lang w:val="en-IE"/>
        </w:rPr>
      </w:pPr>
    </w:p>
    <w:p w:rsidR="007F143E" w:rsidRDefault="007F143E"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156713" w:rsidRDefault="00156713" w:rsidP="00205148">
      <w:pPr>
        <w:autoSpaceDE w:val="0"/>
        <w:autoSpaceDN w:val="0"/>
        <w:adjustRightInd w:val="0"/>
        <w:spacing w:after="0" w:line="240" w:lineRule="auto"/>
        <w:rPr>
          <w:rFonts w:ascii="Arial" w:hAnsi="Arial" w:cs="Arial"/>
          <w:bCs/>
          <w:color w:val="000000"/>
          <w:sz w:val="24"/>
          <w:szCs w:val="24"/>
          <w:lang w:val="en-IE"/>
        </w:rPr>
      </w:pPr>
    </w:p>
    <w:p w:rsidR="008C319C" w:rsidRDefault="008C319C" w:rsidP="00205148">
      <w:pPr>
        <w:autoSpaceDE w:val="0"/>
        <w:autoSpaceDN w:val="0"/>
        <w:adjustRightInd w:val="0"/>
        <w:spacing w:after="0" w:line="240" w:lineRule="auto"/>
        <w:rPr>
          <w:rFonts w:ascii="Arial" w:hAnsi="Arial" w:cs="Arial"/>
          <w:bCs/>
          <w:color w:val="000000"/>
          <w:sz w:val="24"/>
          <w:szCs w:val="24"/>
          <w:lang w:val="en-IE"/>
        </w:rPr>
      </w:pPr>
    </w:p>
    <w:p w:rsidR="005A117C" w:rsidRDefault="005A117C" w:rsidP="00205148">
      <w:pPr>
        <w:autoSpaceDE w:val="0"/>
        <w:autoSpaceDN w:val="0"/>
        <w:adjustRightInd w:val="0"/>
        <w:spacing w:after="0" w:line="240" w:lineRule="auto"/>
        <w:rPr>
          <w:rFonts w:ascii="Arial" w:hAnsi="Arial" w:cs="Arial"/>
          <w:b/>
          <w:lang w:val="en-IE"/>
        </w:rPr>
      </w:pPr>
    </w:p>
    <w:p w:rsidR="00CE764C" w:rsidRDefault="00CE764C" w:rsidP="00205148">
      <w:pPr>
        <w:autoSpaceDE w:val="0"/>
        <w:autoSpaceDN w:val="0"/>
        <w:adjustRightInd w:val="0"/>
        <w:spacing w:after="0" w:line="240" w:lineRule="auto"/>
        <w:rPr>
          <w:rFonts w:ascii="Arial" w:hAnsi="Arial" w:cs="Arial"/>
          <w:bCs/>
          <w:color w:val="000000"/>
          <w:sz w:val="24"/>
          <w:szCs w:val="24"/>
          <w:lang w:val="en-IE"/>
        </w:rPr>
      </w:pPr>
      <w:r>
        <w:rPr>
          <w:rFonts w:ascii="Arial" w:hAnsi="Arial" w:cs="Arial"/>
          <w:b/>
        </w:rPr>
        <w:t>Core Strategy Tabl</w:t>
      </w:r>
      <w:r>
        <w:rPr>
          <w:rFonts w:ascii="Arial" w:hAnsi="Arial" w:cs="Arial"/>
          <w:b/>
          <w:lang w:val="en-IE"/>
        </w:rPr>
        <w:t>e</w:t>
      </w:r>
    </w:p>
    <w:p w:rsidR="005E6195" w:rsidRPr="00CE764C" w:rsidRDefault="00CE764C" w:rsidP="00CE764C">
      <w:pPr>
        <w:rPr>
          <w:rFonts w:ascii="Arial" w:hAnsi="Arial" w:cs="Arial"/>
          <w:b/>
          <w:sz w:val="18"/>
          <w:szCs w:val="18"/>
        </w:rPr>
      </w:pPr>
      <w:r w:rsidRPr="00AF79E5">
        <w:rPr>
          <w:rFonts w:ascii="Arial" w:hAnsi="Arial" w:cs="Arial"/>
          <w:b/>
          <w:sz w:val="16"/>
          <w:szCs w:val="16"/>
        </w:rPr>
        <w:t xml:space="preserve">Table </w:t>
      </w:r>
      <w:r w:rsidRPr="00AF79E5">
        <w:rPr>
          <w:rFonts w:ascii="Arial" w:hAnsi="Arial" w:cs="Arial"/>
          <w:b/>
          <w:sz w:val="16"/>
          <w:szCs w:val="16"/>
          <w:lang w:val="en-IE"/>
        </w:rPr>
        <w:t>1</w:t>
      </w:r>
      <w:r w:rsidR="00205148" w:rsidRPr="00AF79E5">
        <w:rPr>
          <w:rFonts w:ascii="Arial" w:hAnsi="Arial" w:cs="Arial"/>
          <w:b/>
          <w:sz w:val="16"/>
          <w:szCs w:val="16"/>
        </w:rPr>
        <w:t xml:space="preserve">: Core Strategy Table  </w:t>
      </w:r>
      <w:r w:rsidR="005E6195" w:rsidRPr="00AF79E5">
        <w:rPr>
          <w:rFonts w:ascii="Arial" w:hAnsi="Arial" w:cs="Arial"/>
          <w:sz w:val="16"/>
          <w:szCs w:val="16"/>
        </w:rPr>
        <w:tab/>
      </w:r>
      <w:r w:rsidR="005E6195">
        <w:rPr>
          <w:rFonts w:ascii="Arial" w:hAnsi="Arial" w:cs="Arial"/>
        </w:rPr>
        <w:tab/>
      </w:r>
      <w:r w:rsidR="005E6195">
        <w:rPr>
          <w:rFonts w:ascii="Arial" w:hAnsi="Arial" w:cs="Arial"/>
        </w:rPr>
        <w:tab/>
      </w:r>
      <w:r w:rsidR="005E6195">
        <w:rPr>
          <w:rFonts w:ascii="Arial" w:hAnsi="Arial" w:cs="Arial"/>
        </w:rPr>
        <w:tab/>
      </w:r>
      <w:r w:rsidR="005E6195">
        <w:rPr>
          <w:rFonts w:ascii="Arial" w:hAnsi="Arial" w:cs="Arial"/>
        </w:rPr>
        <w:tab/>
      </w:r>
      <w:r w:rsidR="005E6195">
        <w:rPr>
          <w:rFonts w:ascii="Arial" w:hAnsi="Arial" w:cs="Arial"/>
        </w:rPr>
        <w:tab/>
      </w:r>
    </w:p>
    <w:tbl>
      <w:tblPr>
        <w:tblStyle w:val="LightList-Accent2"/>
        <w:tblW w:w="10950" w:type="dxa"/>
        <w:tblInd w:w="-34" w:type="dxa"/>
        <w:tblLayout w:type="fixed"/>
        <w:tblLook w:val="04A0"/>
      </w:tblPr>
      <w:tblGrid>
        <w:gridCol w:w="1453"/>
        <w:gridCol w:w="283"/>
        <w:gridCol w:w="1843"/>
        <w:gridCol w:w="1417"/>
        <w:gridCol w:w="1701"/>
        <w:gridCol w:w="1560"/>
        <w:gridCol w:w="1275"/>
        <w:gridCol w:w="1418"/>
      </w:tblGrid>
      <w:tr w:rsidR="005E6195" w:rsidRPr="005E6195" w:rsidTr="007D6F34">
        <w:trPr>
          <w:cnfStyle w:val="100000000000"/>
        </w:trPr>
        <w:tc>
          <w:tcPr>
            <w:cnfStyle w:val="001000000000"/>
            <w:tcW w:w="1453" w:type="dxa"/>
          </w:tcPr>
          <w:p w:rsidR="005E6195" w:rsidRPr="005E6195" w:rsidRDefault="005E6195" w:rsidP="001B633F">
            <w:pPr>
              <w:spacing w:line="360" w:lineRule="auto"/>
              <w:rPr>
                <w:rFonts w:ascii="Arial" w:hAnsi="Arial" w:cs="Arial"/>
                <w:sz w:val="18"/>
                <w:szCs w:val="18"/>
              </w:rPr>
            </w:pPr>
          </w:p>
        </w:tc>
        <w:tc>
          <w:tcPr>
            <w:tcW w:w="2126" w:type="dxa"/>
            <w:gridSpan w:val="2"/>
          </w:tcPr>
          <w:p w:rsidR="005E6195" w:rsidRPr="005E6195" w:rsidRDefault="005E6195" w:rsidP="001B633F">
            <w:pPr>
              <w:spacing w:line="360" w:lineRule="auto"/>
              <w:cnfStyle w:val="100000000000"/>
              <w:rPr>
                <w:rFonts w:ascii="Arial" w:hAnsi="Arial" w:cs="Arial"/>
                <w:sz w:val="18"/>
                <w:szCs w:val="18"/>
              </w:rPr>
            </w:pPr>
          </w:p>
        </w:tc>
        <w:tc>
          <w:tcPr>
            <w:tcW w:w="1417" w:type="dxa"/>
          </w:tcPr>
          <w:p w:rsidR="005E6195" w:rsidRPr="005E6195" w:rsidRDefault="005E6195" w:rsidP="001B633F">
            <w:pPr>
              <w:spacing w:line="360" w:lineRule="auto"/>
              <w:cnfStyle w:val="100000000000"/>
              <w:rPr>
                <w:rFonts w:ascii="Arial" w:hAnsi="Arial" w:cs="Arial"/>
                <w:b w:val="0"/>
                <w:sz w:val="18"/>
                <w:szCs w:val="18"/>
              </w:rPr>
            </w:pPr>
            <w:r w:rsidRPr="005E6195">
              <w:rPr>
                <w:rFonts w:ascii="Arial" w:hAnsi="Arial" w:cs="Arial"/>
                <w:b w:val="0"/>
                <w:sz w:val="18"/>
                <w:szCs w:val="18"/>
              </w:rPr>
              <w:t>Target Population growth from 2011 – 2020</w:t>
            </w:r>
          </w:p>
        </w:tc>
        <w:tc>
          <w:tcPr>
            <w:tcW w:w="1701" w:type="dxa"/>
          </w:tcPr>
          <w:p w:rsidR="005E6195" w:rsidRPr="005E6195" w:rsidRDefault="005E6195" w:rsidP="001B633F">
            <w:pPr>
              <w:spacing w:line="360" w:lineRule="auto"/>
              <w:cnfStyle w:val="100000000000"/>
              <w:rPr>
                <w:rFonts w:ascii="Arial" w:hAnsi="Arial" w:cs="Arial"/>
                <w:b w:val="0"/>
                <w:sz w:val="18"/>
                <w:szCs w:val="18"/>
              </w:rPr>
            </w:pPr>
            <w:r w:rsidRPr="005E6195">
              <w:rPr>
                <w:rFonts w:ascii="Arial" w:hAnsi="Arial" w:cs="Arial"/>
                <w:b w:val="0"/>
                <w:sz w:val="18"/>
                <w:szCs w:val="18"/>
              </w:rPr>
              <w:t xml:space="preserve">Housing Land Requirement (ha) for Target Population Growth </w:t>
            </w:r>
          </w:p>
        </w:tc>
        <w:tc>
          <w:tcPr>
            <w:tcW w:w="1560" w:type="dxa"/>
          </w:tcPr>
          <w:p w:rsidR="005E6195" w:rsidRPr="005E6195" w:rsidRDefault="005E6195" w:rsidP="001B633F">
            <w:pPr>
              <w:spacing w:line="360" w:lineRule="auto"/>
              <w:cnfStyle w:val="100000000000"/>
              <w:rPr>
                <w:rFonts w:ascii="Arial" w:hAnsi="Arial" w:cs="Arial"/>
                <w:b w:val="0"/>
                <w:sz w:val="18"/>
                <w:szCs w:val="18"/>
              </w:rPr>
            </w:pPr>
            <w:r w:rsidRPr="005E6195">
              <w:rPr>
                <w:rFonts w:ascii="Arial" w:hAnsi="Arial" w:cs="Arial"/>
                <w:b w:val="0"/>
                <w:sz w:val="18"/>
                <w:szCs w:val="18"/>
              </w:rPr>
              <w:t xml:space="preserve">Proposed Residential Land Zoning /Designation (Ha) with 50% </w:t>
            </w:r>
          </w:p>
          <w:p w:rsidR="005E6195" w:rsidRPr="005E6195" w:rsidRDefault="005E6195" w:rsidP="001B633F">
            <w:pPr>
              <w:spacing w:line="360" w:lineRule="auto"/>
              <w:cnfStyle w:val="100000000000"/>
              <w:rPr>
                <w:rFonts w:ascii="Arial" w:hAnsi="Arial" w:cs="Arial"/>
                <w:b w:val="0"/>
                <w:sz w:val="18"/>
                <w:szCs w:val="18"/>
              </w:rPr>
            </w:pPr>
            <w:r w:rsidRPr="005E6195">
              <w:rPr>
                <w:rFonts w:ascii="Arial" w:hAnsi="Arial" w:cs="Arial"/>
                <w:b w:val="0"/>
                <w:sz w:val="18"/>
                <w:szCs w:val="18"/>
              </w:rPr>
              <w:t>over zoning</w:t>
            </w:r>
          </w:p>
        </w:tc>
        <w:tc>
          <w:tcPr>
            <w:tcW w:w="1275" w:type="dxa"/>
          </w:tcPr>
          <w:p w:rsidR="005E6195" w:rsidRPr="005E6195" w:rsidRDefault="005E6195" w:rsidP="001B633F">
            <w:pPr>
              <w:spacing w:line="360" w:lineRule="auto"/>
              <w:cnfStyle w:val="100000000000"/>
              <w:rPr>
                <w:rFonts w:ascii="Arial" w:hAnsi="Arial" w:cs="Arial"/>
                <w:b w:val="0"/>
                <w:sz w:val="18"/>
                <w:szCs w:val="18"/>
              </w:rPr>
            </w:pPr>
            <w:r w:rsidRPr="005E6195">
              <w:rPr>
                <w:rFonts w:ascii="Arial" w:hAnsi="Arial" w:cs="Arial"/>
                <w:b w:val="0"/>
                <w:sz w:val="18"/>
                <w:szCs w:val="18"/>
              </w:rPr>
              <w:t>Housing Yield (units) form Proposed Residential Land Zoning</w:t>
            </w:r>
          </w:p>
        </w:tc>
        <w:tc>
          <w:tcPr>
            <w:tcW w:w="1418" w:type="dxa"/>
          </w:tcPr>
          <w:p w:rsidR="005E6195" w:rsidRPr="005E6195" w:rsidRDefault="005E6195" w:rsidP="007D6F34">
            <w:pPr>
              <w:spacing w:line="360" w:lineRule="auto"/>
              <w:ind w:right="352"/>
              <w:cnfStyle w:val="100000000000"/>
              <w:rPr>
                <w:rFonts w:ascii="Arial" w:hAnsi="Arial" w:cs="Arial"/>
                <w:b w:val="0"/>
                <w:sz w:val="18"/>
                <w:szCs w:val="18"/>
              </w:rPr>
            </w:pPr>
            <w:r w:rsidRPr="005E6195">
              <w:rPr>
                <w:rFonts w:ascii="Arial" w:hAnsi="Arial" w:cs="Arial"/>
                <w:b w:val="0"/>
                <w:sz w:val="18"/>
                <w:szCs w:val="18"/>
              </w:rPr>
              <w:t>Housing Yield (units) from other lands</w:t>
            </w:r>
          </w:p>
        </w:tc>
      </w:tr>
      <w:tr w:rsidR="005E6195" w:rsidRPr="005E6195" w:rsidTr="007D6F34">
        <w:trPr>
          <w:cnfStyle w:val="000000100000"/>
        </w:trPr>
        <w:tc>
          <w:tcPr>
            <w:cnfStyle w:val="001000000000"/>
            <w:tcW w:w="3579" w:type="dxa"/>
            <w:gridSpan w:val="3"/>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County</w:t>
            </w:r>
          </w:p>
        </w:tc>
        <w:tc>
          <w:tcPr>
            <w:tcW w:w="1417"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8,143</w:t>
            </w:r>
          </w:p>
        </w:tc>
        <w:tc>
          <w:tcPr>
            <w:tcW w:w="1701" w:type="dxa"/>
          </w:tcPr>
          <w:p w:rsidR="005E6195" w:rsidRPr="005E6195" w:rsidRDefault="005E6195" w:rsidP="001B633F">
            <w:pPr>
              <w:spacing w:line="360" w:lineRule="auto"/>
              <w:cnfStyle w:val="000000100000"/>
              <w:rPr>
                <w:rFonts w:ascii="Arial" w:hAnsi="Arial" w:cs="Arial"/>
                <w:sz w:val="18"/>
                <w:szCs w:val="18"/>
              </w:rPr>
            </w:pPr>
          </w:p>
        </w:tc>
        <w:tc>
          <w:tcPr>
            <w:tcW w:w="1560" w:type="dxa"/>
          </w:tcPr>
          <w:p w:rsidR="005E6195" w:rsidRPr="005E6195" w:rsidRDefault="005E6195" w:rsidP="001B633F">
            <w:pPr>
              <w:spacing w:line="360" w:lineRule="auto"/>
              <w:cnfStyle w:val="000000100000"/>
              <w:rPr>
                <w:rFonts w:ascii="Arial" w:hAnsi="Arial" w:cs="Arial"/>
                <w:sz w:val="18"/>
                <w:szCs w:val="18"/>
              </w:rPr>
            </w:pPr>
          </w:p>
        </w:tc>
        <w:tc>
          <w:tcPr>
            <w:tcW w:w="1275" w:type="dxa"/>
          </w:tcPr>
          <w:p w:rsidR="005E6195" w:rsidRPr="005E6195" w:rsidRDefault="005E6195" w:rsidP="001B633F">
            <w:pPr>
              <w:spacing w:line="360" w:lineRule="auto"/>
              <w:cnfStyle w:val="000000100000"/>
              <w:rPr>
                <w:rFonts w:ascii="Arial" w:hAnsi="Arial" w:cs="Arial"/>
                <w:sz w:val="18"/>
                <w:szCs w:val="18"/>
              </w:rPr>
            </w:pPr>
          </w:p>
        </w:tc>
        <w:tc>
          <w:tcPr>
            <w:tcW w:w="1418" w:type="dxa"/>
            <w:vMerge w:val="restart"/>
          </w:tcPr>
          <w:p w:rsidR="005E6195" w:rsidRPr="005E6195" w:rsidRDefault="005E6195" w:rsidP="007D6F34">
            <w:pPr>
              <w:spacing w:line="360" w:lineRule="auto"/>
              <w:ind w:right="352"/>
              <w:cnfStyle w:val="000000100000"/>
              <w:rPr>
                <w:rFonts w:ascii="Arial" w:hAnsi="Arial" w:cs="Arial"/>
                <w:sz w:val="18"/>
                <w:szCs w:val="18"/>
              </w:rPr>
            </w:pPr>
            <w:r w:rsidRPr="005E6195">
              <w:rPr>
                <w:rFonts w:ascii="Arial" w:hAnsi="Arial" w:cs="Arial"/>
                <w:sz w:val="18"/>
                <w:szCs w:val="18"/>
              </w:rPr>
              <w:t>There is additional capacity within the existing residential zoned land to cater for one-off dwellings. This will vary from town to town and includes both the potential for one-off dwellings as well as considerable capacity to re-use and re-develop un-used and derelict buildings.</w:t>
            </w:r>
          </w:p>
        </w:tc>
      </w:tr>
      <w:tr w:rsidR="005E6195" w:rsidRPr="005E6195" w:rsidTr="007D6F34">
        <w:tc>
          <w:tcPr>
            <w:cnfStyle w:val="001000000000"/>
            <w:tcW w:w="1736" w:type="dxa"/>
            <w:gridSpan w:val="2"/>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one</w:t>
            </w:r>
          </w:p>
        </w:tc>
        <w:tc>
          <w:tcPr>
            <w:tcW w:w="1843"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Cavan Town &amp; Environs</w:t>
            </w:r>
          </w:p>
        </w:tc>
        <w:tc>
          <w:tcPr>
            <w:tcW w:w="1417"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2,195</w:t>
            </w:r>
          </w:p>
        </w:tc>
        <w:tc>
          <w:tcPr>
            <w:tcW w:w="1701"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43.6</w:t>
            </w:r>
          </w:p>
        </w:tc>
        <w:tc>
          <w:tcPr>
            <w:tcW w:w="1560"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65</w:t>
            </w:r>
          </w:p>
        </w:tc>
        <w:tc>
          <w:tcPr>
            <w:tcW w:w="1275"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1170</w:t>
            </w: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Two</w:t>
            </w:r>
          </w:p>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(Large Towns)</w:t>
            </w:r>
          </w:p>
        </w:tc>
        <w:tc>
          <w:tcPr>
            <w:tcW w:w="1843"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Bailieborough</w:t>
            </w:r>
          </w:p>
        </w:tc>
        <w:tc>
          <w:tcPr>
            <w:tcW w:w="1417"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585</w:t>
            </w:r>
          </w:p>
        </w:tc>
        <w:tc>
          <w:tcPr>
            <w:tcW w:w="1701"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17.4</w:t>
            </w:r>
          </w:p>
        </w:tc>
        <w:tc>
          <w:tcPr>
            <w:tcW w:w="1560"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26</w:t>
            </w:r>
          </w:p>
        </w:tc>
        <w:tc>
          <w:tcPr>
            <w:tcW w:w="1275"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312</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Ballyjamesduff</w:t>
            </w:r>
          </w:p>
        </w:tc>
        <w:tc>
          <w:tcPr>
            <w:tcW w:w="1417"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585</w:t>
            </w:r>
          </w:p>
        </w:tc>
        <w:tc>
          <w:tcPr>
            <w:tcW w:w="1701"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17.4</w:t>
            </w:r>
          </w:p>
        </w:tc>
        <w:tc>
          <w:tcPr>
            <w:tcW w:w="1560"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26</w:t>
            </w:r>
          </w:p>
        </w:tc>
        <w:tc>
          <w:tcPr>
            <w:tcW w:w="1275"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312</w:t>
            </w: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Cootehill</w:t>
            </w:r>
          </w:p>
        </w:tc>
        <w:tc>
          <w:tcPr>
            <w:tcW w:w="1417"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585</w:t>
            </w:r>
          </w:p>
        </w:tc>
        <w:tc>
          <w:tcPr>
            <w:tcW w:w="1701"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17.4</w:t>
            </w:r>
          </w:p>
        </w:tc>
        <w:tc>
          <w:tcPr>
            <w:tcW w:w="1560"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26</w:t>
            </w:r>
          </w:p>
        </w:tc>
        <w:tc>
          <w:tcPr>
            <w:tcW w:w="1275"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312</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Virginia</w:t>
            </w:r>
          </w:p>
        </w:tc>
        <w:tc>
          <w:tcPr>
            <w:tcW w:w="1417"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585</w:t>
            </w:r>
          </w:p>
        </w:tc>
        <w:tc>
          <w:tcPr>
            <w:tcW w:w="1701"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17.4</w:t>
            </w:r>
          </w:p>
        </w:tc>
        <w:tc>
          <w:tcPr>
            <w:tcW w:w="1560"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26</w:t>
            </w:r>
          </w:p>
        </w:tc>
        <w:tc>
          <w:tcPr>
            <w:tcW w:w="1275"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312</w:t>
            </w: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Kingscourt</w:t>
            </w:r>
          </w:p>
        </w:tc>
        <w:tc>
          <w:tcPr>
            <w:tcW w:w="1417"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585</w:t>
            </w:r>
          </w:p>
        </w:tc>
        <w:tc>
          <w:tcPr>
            <w:tcW w:w="1701"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17.4</w:t>
            </w:r>
          </w:p>
        </w:tc>
        <w:tc>
          <w:tcPr>
            <w:tcW w:w="1560"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26</w:t>
            </w:r>
          </w:p>
        </w:tc>
        <w:tc>
          <w:tcPr>
            <w:tcW w:w="1275"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312</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val="restart"/>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Three</w:t>
            </w:r>
          </w:p>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(Medium Size Towns)</w:t>
            </w:r>
          </w:p>
        </w:tc>
        <w:tc>
          <w:tcPr>
            <w:tcW w:w="1843"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Ballyconnell</w:t>
            </w:r>
          </w:p>
        </w:tc>
        <w:tc>
          <w:tcPr>
            <w:tcW w:w="1417"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325</w:t>
            </w:r>
          </w:p>
        </w:tc>
        <w:tc>
          <w:tcPr>
            <w:tcW w:w="1701"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9.7</w:t>
            </w:r>
          </w:p>
        </w:tc>
        <w:tc>
          <w:tcPr>
            <w:tcW w:w="1560"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15</w:t>
            </w:r>
          </w:p>
        </w:tc>
        <w:tc>
          <w:tcPr>
            <w:tcW w:w="1275"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180</w:t>
            </w: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Belturbet</w:t>
            </w:r>
          </w:p>
        </w:tc>
        <w:tc>
          <w:tcPr>
            <w:tcW w:w="1417"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325</w:t>
            </w:r>
          </w:p>
        </w:tc>
        <w:tc>
          <w:tcPr>
            <w:tcW w:w="1701"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9.7</w:t>
            </w:r>
          </w:p>
        </w:tc>
        <w:tc>
          <w:tcPr>
            <w:tcW w:w="1560"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15</w:t>
            </w:r>
          </w:p>
        </w:tc>
        <w:tc>
          <w:tcPr>
            <w:tcW w:w="1275" w:type="dxa"/>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180</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Mullagh</w:t>
            </w:r>
          </w:p>
        </w:tc>
        <w:tc>
          <w:tcPr>
            <w:tcW w:w="1417"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325</w:t>
            </w:r>
          </w:p>
        </w:tc>
        <w:tc>
          <w:tcPr>
            <w:tcW w:w="1701"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9.7</w:t>
            </w:r>
          </w:p>
        </w:tc>
        <w:tc>
          <w:tcPr>
            <w:tcW w:w="1560"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15</w:t>
            </w:r>
          </w:p>
        </w:tc>
        <w:tc>
          <w:tcPr>
            <w:tcW w:w="1275" w:type="dxa"/>
          </w:tcPr>
          <w:p w:rsidR="005E6195" w:rsidRPr="005E6195" w:rsidRDefault="005E6195" w:rsidP="001B633F">
            <w:pPr>
              <w:spacing w:line="360" w:lineRule="auto"/>
              <w:cnfStyle w:val="000000000000"/>
              <w:rPr>
                <w:rFonts w:ascii="Arial" w:hAnsi="Arial" w:cs="Arial"/>
                <w:sz w:val="18"/>
                <w:szCs w:val="18"/>
              </w:rPr>
            </w:pPr>
            <w:r w:rsidRPr="005E6195">
              <w:rPr>
                <w:rFonts w:ascii="Arial" w:hAnsi="Arial" w:cs="Arial"/>
                <w:sz w:val="18"/>
                <w:szCs w:val="18"/>
              </w:rPr>
              <w:t>180</w:t>
            </w: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val="restart"/>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Four</w:t>
            </w:r>
          </w:p>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(Small Towns)</w:t>
            </w:r>
          </w:p>
        </w:tc>
        <w:tc>
          <w:tcPr>
            <w:tcW w:w="1843" w:type="dxa"/>
          </w:tcPr>
          <w:p w:rsidR="005E6195" w:rsidRPr="005E6195" w:rsidRDefault="005E6195" w:rsidP="001B633F">
            <w:pPr>
              <w:spacing w:line="360" w:lineRule="auto"/>
              <w:cnfStyle w:val="000000100000"/>
              <w:rPr>
                <w:sz w:val="18"/>
                <w:szCs w:val="18"/>
              </w:rPr>
            </w:pPr>
            <w:r w:rsidRPr="005E6195">
              <w:rPr>
                <w:sz w:val="18"/>
                <w:szCs w:val="18"/>
              </w:rPr>
              <w:t>Killeshandra</w:t>
            </w:r>
          </w:p>
        </w:tc>
        <w:tc>
          <w:tcPr>
            <w:tcW w:w="1417"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642</w:t>
            </w:r>
          </w:p>
        </w:tc>
        <w:tc>
          <w:tcPr>
            <w:tcW w:w="1701"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18</w:t>
            </w:r>
          </w:p>
        </w:tc>
        <w:tc>
          <w:tcPr>
            <w:tcW w:w="1560"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27</w:t>
            </w:r>
          </w:p>
        </w:tc>
        <w:tc>
          <w:tcPr>
            <w:tcW w:w="1275"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324</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Arvagh</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Kilnaleck</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Shercock</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Ballyhaise</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Ballinagh</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val="restart"/>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Five (Villages)</w:t>
            </w:r>
          </w:p>
        </w:tc>
        <w:tc>
          <w:tcPr>
            <w:tcW w:w="1843" w:type="dxa"/>
          </w:tcPr>
          <w:p w:rsidR="005E6195" w:rsidRPr="005E6195" w:rsidRDefault="005E6195" w:rsidP="001B633F">
            <w:pPr>
              <w:spacing w:line="360" w:lineRule="auto"/>
              <w:cnfStyle w:val="000000100000"/>
              <w:rPr>
                <w:sz w:val="18"/>
                <w:szCs w:val="18"/>
              </w:rPr>
            </w:pPr>
            <w:r w:rsidRPr="005E6195">
              <w:rPr>
                <w:sz w:val="18"/>
                <w:szCs w:val="18"/>
              </w:rPr>
              <w:t>Loch Gowna</w:t>
            </w:r>
          </w:p>
        </w:tc>
        <w:tc>
          <w:tcPr>
            <w:tcW w:w="1417"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336</w:t>
            </w:r>
          </w:p>
        </w:tc>
        <w:tc>
          <w:tcPr>
            <w:tcW w:w="1701"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8</w:t>
            </w:r>
          </w:p>
        </w:tc>
        <w:tc>
          <w:tcPr>
            <w:tcW w:w="1560"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12</w:t>
            </w:r>
          </w:p>
        </w:tc>
        <w:tc>
          <w:tcPr>
            <w:tcW w:w="1275"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144</w:t>
            </w: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Swanlinbar</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Blacklion</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Butlersbridge</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val="restart"/>
          </w:tcPr>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Tier Six</w:t>
            </w:r>
          </w:p>
          <w:p w:rsidR="005E6195" w:rsidRPr="005E6195" w:rsidRDefault="005E6195" w:rsidP="001B633F">
            <w:pPr>
              <w:spacing w:line="360" w:lineRule="auto"/>
              <w:rPr>
                <w:rFonts w:ascii="Arial" w:hAnsi="Arial" w:cs="Arial"/>
                <w:sz w:val="18"/>
                <w:szCs w:val="18"/>
              </w:rPr>
            </w:pPr>
            <w:r w:rsidRPr="005E6195">
              <w:rPr>
                <w:rFonts w:ascii="Arial" w:hAnsi="Arial" w:cs="Arial"/>
                <w:sz w:val="18"/>
                <w:szCs w:val="18"/>
              </w:rPr>
              <w:t>(Small Villages, other settlements and open countryside)</w:t>
            </w:r>
          </w:p>
        </w:tc>
        <w:tc>
          <w:tcPr>
            <w:tcW w:w="1843" w:type="dxa"/>
          </w:tcPr>
          <w:p w:rsidR="005E6195" w:rsidRPr="005E6195" w:rsidRDefault="005E6195" w:rsidP="001B633F">
            <w:pPr>
              <w:spacing w:line="360" w:lineRule="auto"/>
              <w:cnfStyle w:val="000000100000"/>
              <w:rPr>
                <w:sz w:val="18"/>
                <w:szCs w:val="18"/>
              </w:rPr>
            </w:pPr>
            <w:r w:rsidRPr="005E6195">
              <w:rPr>
                <w:sz w:val="18"/>
                <w:szCs w:val="18"/>
              </w:rPr>
              <w:t>Bawnboy</w:t>
            </w:r>
          </w:p>
        </w:tc>
        <w:tc>
          <w:tcPr>
            <w:tcW w:w="1417"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1071</w:t>
            </w:r>
          </w:p>
        </w:tc>
        <w:tc>
          <w:tcPr>
            <w:tcW w:w="1701" w:type="dxa"/>
            <w:vMerge w:val="restart"/>
          </w:tcPr>
          <w:p w:rsidR="005E6195" w:rsidRPr="005E6195" w:rsidRDefault="005E6195" w:rsidP="001B633F">
            <w:pPr>
              <w:spacing w:line="360" w:lineRule="auto"/>
              <w:cnfStyle w:val="000000100000"/>
              <w:rPr>
                <w:rFonts w:ascii="Arial" w:hAnsi="Arial" w:cs="Arial"/>
                <w:sz w:val="18"/>
                <w:szCs w:val="18"/>
              </w:rPr>
            </w:pPr>
            <w:r w:rsidRPr="005E6195">
              <w:rPr>
                <w:rFonts w:ascii="Arial" w:hAnsi="Arial" w:cs="Arial"/>
                <w:sz w:val="18"/>
                <w:szCs w:val="18"/>
              </w:rPr>
              <w:t>32</w:t>
            </w:r>
          </w:p>
        </w:tc>
        <w:tc>
          <w:tcPr>
            <w:tcW w:w="1560" w:type="dxa"/>
            <w:vMerge w:val="restart"/>
          </w:tcPr>
          <w:p w:rsidR="005E6195" w:rsidRPr="005E6195" w:rsidRDefault="005E6195" w:rsidP="001B633F">
            <w:pPr>
              <w:spacing w:line="360" w:lineRule="auto"/>
              <w:cnfStyle w:val="000000100000"/>
              <w:rPr>
                <w:rFonts w:ascii="Arial" w:hAnsi="Arial" w:cs="Arial"/>
                <w:sz w:val="18"/>
                <w:szCs w:val="18"/>
              </w:rPr>
            </w:pPr>
          </w:p>
        </w:tc>
        <w:tc>
          <w:tcPr>
            <w:tcW w:w="1275" w:type="dxa"/>
            <w:vMerge w:val="restart"/>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Dowra</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Kilcogy</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Stradone</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Redhills</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Mountnugent</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r w:rsidR="005E6195" w:rsidRPr="005E6195" w:rsidTr="007D6F34">
        <w:trPr>
          <w:cnfStyle w:val="000000100000"/>
        </w:trPr>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100000"/>
              <w:rPr>
                <w:sz w:val="18"/>
                <w:szCs w:val="18"/>
              </w:rPr>
            </w:pPr>
            <w:r w:rsidRPr="005E6195">
              <w:rPr>
                <w:sz w:val="18"/>
                <w:szCs w:val="18"/>
              </w:rPr>
              <w:t xml:space="preserve">Crossdoney </w:t>
            </w:r>
          </w:p>
        </w:tc>
        <w:tc>
          <w:tcPr>
            <w:tcW w:w="1417" w:type="dxa"/>
            <w:vMerge/>
          </w:tcPr>
          <w:p w:rsidR="005E6195" w:rsidRPr="005E6195" w:rsidRDefault="005E6195" w:rsidP="001B633F">
            <w:pPr>
              <w:spacing w:line="360" w:lineRule="auto"/>
              <w:cnfStyle w:val="000000100000"/>
              <w:rPr>
                <w:rFonts w:ascii="Arial" w:hAnsi="Arial" w:cs="Arial"/>
                <w:sz w:val="18"/>
                <w:szCs w:val="18"/>
              </w:rPr>
            </w:pPr>
          </w:p>
        </w:tc>
        <w:tc>
          <w:tcPr>
            <w:tcW w:w="1701" w:type="dxa"/>
            <w:vMerge/>
          </w:tcPr>
          <w:p w:rsidR="005E6195" w:rsidRPr="005E6195" w:rsidRDefault="005E6195" w:rsidP="001B633F">
            <w:pPr>
              <w:spacing w:line="360" w:lineRule="auto"/>
              <w:cnfStyle w:val="000000100000"/>
              <w:rPr>
                <w:rFonts w:ascii="Arial" w:hAnsi="Arial" w:cs="Arial"/>
                <w:sz w:val="18"/>
                <w:szCs w:val="18"/>
              </w:rPr>
            </w:pPr>
          </w:p>
        </w:tc>
        <w:tc>
          <w:tcPr>
            <w:tcW w:w="1560" w:type="dxa"/>
            <w:vMerge/>
          </w:tcPr>
          <w:p w:rsidR="005E6195" w:rsidRPr="005E6195" w:rsidRDefault="005E6195" w:rsidP="001B633F">
            <w:pPr>
              <w:spacing w:line="360" w:lineRule="auto"/>
              <w:cnfStyle w:val="000000100000"/>
              <w:rPr>
                <w:rFonts w:ascii="Arial" w:hAnsi="Arial" w:cs="Arial"/>
                <w:sz w:val="18"/>
                <w:szCs w:val="18"/>
              </w:rPr>
            </w:pPr>
          </w:p>
        </w:tc>
        <w:tc>
          <w:tcPr>
            <w:tcW w:w="1275" w:type="dxa"/>
            <w:vMerge/>
          </w:tcPr>
          <w:p w:rsidR="005E6195" w:rsidRPr="005E6195" w:rsidRDefault="005E6195" w:rsidP="001B633F">
            <w:pPr>
              <w:spacing w:line="360" w:lineRule="auto"/>
              <w:cnfStyle w:val="000000100000"/>
              <w:rPr>
                <w:rFonts w:ascii="Arial" w:hAnsi="Arial" w:cs="Arial"/>
                <w:sz w:val="18"/>
                <w:szCs w:val="18"/>
              </w:rPr>
            </w:pPr>
          </w:p>
        </w:tc>
        <w:tc>
          <w:tcPr>
            <w:tcW w:w="1418" w:type="dxa"/>
            <w:vMerge/>
          </w:tcPr>
          <w:p w:rsidR="005E6195" w:rsidRPr="005E6195" w:rsidRDefault="005E6195" w:rsidP="001B633F">
            <w:pPr>
              <w:spacing w:line="360" w:lineRule="auto"/>
              <w:cnfStyle w:val="000000100000"/>
              <w:rPr>
                <w:rFonts w:ascii="Arial" w:hAnsi="Arial" w:cs="Arial"/>
                <w:sz w:val="18"/>
                <w:szCs w:val="18"/>
              </w:rPr>
            </w:pPr>
          </w:p>
        </w:tc>
      </w:tr>
      <w:tr w:rsidR="005E6195" w:rsidRPr="005E6195" w:rsidTr="007D6F34">
        <w:tc>
          <w:tcPr>
            <w:cnfStyle w:val="001000000000"/>
            <w:tcW w:w="1736" w:type="dxa"/>
            <w:gridSpan w:val="2"/>
            <w:vMerge/>
          </w:tcPr>
          <w:p w:rsidR="005E6195" w:rsidRPr="005E6195" w:rsidRDefault="005E6195" w:rsidP="001B633F">
            <w:pPr>
              <w:spacing w:line="360" w:lineRule="auto"/>
              <w:rPr>
                <w:rFonts w:ascii="Arial" w:hAnsi="Arial" w:cs="Arial"/>
                <w:sz w:val="18"/>
                <w:szCs w:val="18"/>
              </w:rPr>
            </w:pPr>
          </w:p>
        </w:tc>
        <w:tc>
          <w:tcPr>
            <w:tcW w:w="1843" w:type="dxa"/>
          </w:tcPr>
          <w:p w:rsidR="005E6195" w:rsidRPr="005E6195" w:rsidRDefault="005E6195" w:rsidP="001B633F">
            <w:pPr>
              <w:spacing w:line="360" w:lineRule="auto"/>
              <w:cnfStyle w:val="000000000000"/>
              <w:rPr>
                <w:sz w:val="18"/>
                <w:szCs w:val="18"/>
              </w:rPr>
            </w:pPr>
            <w:r w:rsidRPr="005E6195">
              <w:rPr>
                <w:sz w:val="18"/>
                <w:szCs w:val="18"/>
              </w:rPr>
              <w:t>Crosskeys</w:t>
            </w:r>
          </w:p>
        </w:tc>
        <w:tc>
          <w:tcPr>
            <w:tcW w:w="1417" w:type="dxa"/>
            <w:vMerge/>
          </w:tcPr>
          <w:p w:rsidR="005E6195" w:rsidRPr="005E6195" w:rsidRDefault="005E6195" w:rsidP="001B633F">
            <w:pPr>
              <w:spacing w:line="360" w:lineRule="auto"/>
              <w:cnfStyle w:val="000000000000"/>
              <w:rPr>
                <w:rFonts w:ascii="Arial" w:hAnsi="Arial" w:cs="Arial"/>
                <w:sz w:val="18"/>
                <w:szCs w:val="18"/>
              </w:rPr>
            </w:pPr>
          </w:p>
        </w:tc>
        <w:tc>
          <w:tcPr>
            <w:tcW w:w="1701" w:type="dxa"/>
            <w:vMerge/>
          </w:tcPr>
          <w:p w:rsidR="005E6195" w:rsidRPr="005E6195" w:rsidRDefault="005E6195" w:rsidP="001B633F">
            <w:pPr>
              <w:spacing w:line="360" w:lineRule="auto"/>
              <w:cnfStyle w:val="000000000000"/>
              <w:rPr>
                <w:rFonts w:ascii="Arial" w:hAnsi="Arial" w:cs="Arial"/>
                <w:sz w:val="18"/>
                <w:szCs w:val="18"/>
              </w:rPr>
            </w:pPr>
          </w:p>
        </w:tc>
        <w:tc>
          <w:tcPr>
            <w:tcW w:w="1560" w:type="dxa"/>
            <w:vMerge/>
          </w:tcPr>
          <w:p w:rsidR="005E6195" w:rsidRPr="005E6195" w:rsidRDefault="005E6195" w:rsidP="001B633F">
            <w:pPr>
              <w:spacing w:line="360" w:lineRule="auto"/>
              <w:cnfStyle w:val="000000000000"/>
              <w:rPr>
                <w:rFonts w:ascii="Arial" w:hAnsi="Arial" w:cs="Arial"/>
                <w:sz w:val="18"/>
                <w:szCs w:val="18"/>
              </w:rPr>
            </w:pPr>
          </w:p>
        </w:tc>
        <w:tc>
          <w:tcPr>
            <w:tcW w:w="1275" w:type="dxa"/>
            <w:vMerge/>
          </w:tcPr>
          <w:p w:rsidR="005E6195" w:rsidRPr="005E6195" w:rsidRDefault="005E6195" w:rsidP="001B633F">
            <w:pPr>
              <w:spacing w:line="360" w:lineRule="auto"/>
              <w:cnfStyle w:val="000000000000"/>
              <w:rPr>
                <w:rFonts w:ascii="Arial" w:hAnsi="Arial" w:cs="Arial"/>
                <w:sz w:val="18"/>
                <w:szCs w:val="18"/>
              </w:rPr>
            </w:pPr>
          </w:p>
        </w:tc>
        <w:tc>
          <w:tcPr>
            <w:tcW w:w="1418" w:type="dxa"/>
            <w:vMerge/>
          </w:tcPr>
          <w:p w:rsidR="005E6195" w:rsidRPr="005E6195" w:rsidRDefault="005E6195" w:rsidP="001B633F">
            <w:pPr>
              <w:spacing w:line="360" w:lineRule="auto"/>
              <w:cnfStyle w:val="000000000000"/>
              <w:rPr>
                <w:rFonts w:ascii="Arial" w:hAnsi="Arial" w:cs="Arial"/>
                <w:sz w:val="18"/>
                <w:szCs w:val="18"/>
              </w:rPr>
            </w:pPr>
          </w:p>
        </w:tc>
      </w:tr>
    </w:tbl>
    <w:p w:rsidR="00205148" w:rsidRPr="007D6F34" w:rsidRDefault="00205148" w:rsidP="00205148">
      <w:pPr>
        <w:autoSpaceDE w:val="0"/>
        <w:autoSpaceDN w:val="0"/>
        <w:adjustRightInd w:val="0"/>
        <w:spacing w:after="0" w:line="240" w:lineRule="auto"/>
        <w:rPr>
          <w:rFonts w:ascii="Arial" w:hAnsi="Arial" w:cs="Arial"/>
          <w:b/>
          <w:bCs/>
          <w:color w:val="000000"/>
          <w:sz w:val="24"/>
          <w:szCs w:val="24"/>
          <w:lang w:val="en-IE"/>
        </w:rPr>
      </w:pPr>
    </w:p>
    <w:p w:rsidR="00CE764C" w:rsidRDefault="00CE764C" w:rsidP="007D6F34">
      <w:pPr>
        <w:autoSpaceDE w:val="0"/>
        <w:autoSpaceDN w:val="0"/>
        <w:adjustRightInd w:val="0"/>
        <w:spacing w:after="0" w:line="360" w:lineRule="auto"/>
        <w:rPr>
          <w:rFonts w:ascii="Arial" w:hAnsi="Arial" w:cs="Arial"/>
          <w:bCs/>
          <w:color w:val="000000"/>
          <w:lang w:val="en-IE"/>
        </w:rPr>
      </w:pPr>
    </w:p>
    <w:p w:rsidR="007F143E" w:rsidRDefault="007F143E" w:rsidP="00CE764C">
      <w:pPr>
        <w:autoSpaceDE w:val="0"/>
        <w:autoSpaceDN w:val="0"/>
        <w:adjustRightInd w:val="0"/>
        <w:spacing w:after="0" w:line="360" w:lineRule="auto"/>
        <w:jc w:val="both"/>
        <w:rPr>
          <w:rFonts w:ascii="Arial" w:hAnsi="Arial" w:cs="Arial"/>
          <w:b/>
          <w:bCs/>
          <w:color w:val="000000"/>
          <w:lang w:val="en-IE"/>
        </w:rPr>
      </w:pPr>
    </w:p>
    <w:p w:rsidR="007F143E" w:rsidRPr="00156713" w:rsidRDefault="007F143E" w:rsidP="00CE764C">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lastRenderedPageBreak/>
        <w:t xml:space="preserve">The Core Strategy above shows that the County Development Plan has displayed a targeted growth in the County of 8,143 persons in the period 2014-2020. This results in an expected </w:t>
      </w:r>
      <w:r w:rsidR="00156713" w:rsidRPr="00156713">
        <w:rPr>
          <w:rFonts w:ascii="Arial" w:hAnsi="Arial" w:cs="Arial"/>
          <w:bCs/>
          <w:color w:val="000000"/>
          <w:sz w:val="20"/>
          <w:szCs w:val="20"/>
          <w:lang w:val="en-IE"/>
        </w:rPr>
        <w:t>requirement for</w:t>
      </w:r>
      <w:r w:rsidRPr="00156713">
        <w:rPr>
          <w:rFonts w:ascii="Arial" w:hAnsi="Arial" w:cs="Arial"/>
          <w:bCs/>
          <w:color w:val="000000"/>
          <w:sz w:val="20"/>
          <w:szCs w:val="20"/>
          <w:lang w:val="en-IE"/>
        </w:rPr>
        <w:t xml:space="preserve"> 2951 houses</w:t>
      </w:r>
      <w:r w:rsidR="00156713" w:rsidRPr="00156713">
        <w:rPr>
          <w:rFonts w:ascii="Arial" w:hAnsi="Arial" w:cs="Arial"/>
          <w:bCs/>
          <w:color w:val="000000"/>
          <w:sz w:val="20"/>
          <w:szCs w:val="20"/>
          <w:lang w:val="en-IE"/>
        </w:rPr>
        <w:t xml:space="preserve"> in the plan period</w:t>
      </w:r>
      <w:r w:rsidRPr="00156713">
        <w:rPr>
          <w:rFonts w:ascii="Arial" w:hAnsi="Arial" w:cs="Arial"/>
          <w:bCs/>
          <w:color w:val="000000"/>
          <w:sz w:val="20"/>
          <w:szCs w:val="20"/>
          <w:lang w:val="en-IE"/>
        </w:rPr>
        <w:t xml:space="preserve">. </w:t>
      </w:r>
    </w:p>
    <w:p w:rsidR="007F143E" w:rsidRPr="00156713" w:rsidRDefault="007F143E" w:rsidP="00CE764C">
      <w:pPr>
        <w:autoSpaceDE w:val="0"/>
        <w:autoSpaceDN w:val="0"/>
        <w:adjustRightInd w:val="0"/>
        <w:spacing w:after="0" w:line="360" w:lineRule="auto"/>
        <w:jc w:val="both"/>
        <w:rPr>
          <w:rFonts w:ascii="Arial" w:hAnsi="Arial" w:cs="Arial"/>
          <w:b/>
          <w:bCs/>
          <w:color w:val="000000"/>
          <w:sz w:val="20"/>
          <w:szCs w:val="20"/>
          <w:lang w:val="en-IE"/>
        </w:rPr>
      </w:pPr>
    </w:p>
    <w:p w:rsidR="00CE764C" w:rsidRPr="00156713" w:rsidRDefault="008C319C" w:rsidP="00CE764C">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2.4 </w:t>
      </w:r>
      <w:r w:rsidR="00CE764C" w:rsidRPr="00156713">
        <w:rPr>
          <w:rFonts w:ascii="Arial" w:hAnsi="Arial" w:cs="Arial"/>
          <w:b/>
          <w:bCs/>
          <w:color w:val="000000"/>
          <w:sz w:val="20"/>
          <w:szCs w:val="20"/>
          <w:lang w:val="en-IE"/>
        </w:rPr>
        <w:t xml:space="preserve">Commencement Notices and Planning Permissions </w:t>
      </w:r>
    </w:p>
    <w:p w:rsidR="00205148" w:rsidRPr="00156713" w:rsidRDefault="00CE764C" w:rsidP="00CE764C">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P</w:t>
      </w:r>
      <w:r w:rsidR="00205148" w:rsidRPr="00156713">
        <w:rPr>
          <w:rFonts w:ascii="Arial" w:hAnsi="Arial" w:cs="Arial"/>
          <w:bCs/>
          <w:color w:val="000000"/>
          <w:sz w:val="20"/>
          <w:szCs w:val="20"/>
          <w:lang w:val="en-IE"/>
        </w:rPr>
        <w:t xml:space="preserve">lanning permissions has been approved on </w:t>
      </w:r>
      <w:r w:rsidRPr="00156713">
        <w:rPr>
          <w:rFonts w:ascii="Arial" w:hAnsi="Arial" w:cs="Arial"/>
          <w:bCs/>
          <w:color w:val="000000"/>
          <w:sz w:val="20"/>
          <w:szCs w:val="20"/>
          <w:lang w:val="en-IE"/>
        </w:rPr>
        <w:t>Residential zoned</w:t>
      </w:r>
      <w:r w:rsidR="00205148" w:rsidRPr="00156713">
        <w:rPr>
          <w:rFonts w:ascii="Arial" w:hAnsi="Arial" w:cs="Arial"/>
          <w:bCs/>
          <w:color w:val="000000"/>
          <w:sz w:val="20"/>
          <w:szCs w:val="20"/>
          <w:lang w:val="en-IE"/>
        </w:rPr>
        <w:t xml:space="preserve"> lands </w:t>
      </w:r>
      <w:r w:rsidRPr="00156713">
        <w:rPr>
          <w:rFonts w:ascii="Arial" w:hAnsi="Arial" w:cs="Arial"/>
          <w:bCs/>
          <w:color w:val="000000"/>
          <w:sz w:val="20"/>
          <w:szCs w:val="20"/>
          <w:lang w:val="en-IE"/>
        </w:rPr>
        <w:t xml:space="preserve">for 35 dwellings </w:t>
      </w:r>
      <w:r w:rsidR="00205148" w:rsidRPr="00156713">
        <w:rPr>
          <w:rFonts w:ascii="Arial" w:hAnsi="Arial" w:cs="Arial"/>
          <w:bCs/>
          <w:color w:val="000000"/>
          <w:sz w:val="20"/>
          <w:szCs w:val="20"/>
          <w:lang w:val="en-IE"/>
        </w:rPr>
        <w:t xml:space="preserve">since the adoption of the current development plan </w:t>
      </w:r>
      <w:r w:rsidRPr="00156713">
        <w:rPr>
          <w:rFonts w:ascii="Arial" w:hAnsi="Arial" w:cs="Arial"/>
          <w:bCs/>
          <w:color w:val="000000"/>
          <w:sz w:val="20"/>
          <w:szCs w:val="20"/>
          <w:lang w:val="en-IE"/>
        </w:rPr>
        <w:t xml:space="preserve">(June 2014). Of these 35 dwellings Commencement Notices have been submitted for 13 of them. </w:t>
      </w:r>
      <w:r w:rsidR="005E6195" w:rsidRPr="00156713">
        <w:rPr>
          <w:rFonts w:ascii="Arial" w:hAnsi="Arial" w:cs="Arial"/>
          <w:bCs/>
          <w:color w:val="000000"/>
          <w:sz w:val="20"/>
          <w:szCs w:val="20"/>
          <w:lang w:val="en-IE"/>
        </w:rPr>
        <w:t>T</w:t>
      </w:r>
      <w:r w:rsidR="00205148" w:rsidRPr="00156713">
        <w:rPr>
          <w:rFonts w:ascii="Arial" w:hAnsi="Arial" w:cs="Arial"/>
          <w:bCs/>
          <w:color w:val="000000"/>
          <w:sz w:val="20"/>
          <w:szCs w:val="20"/>
          <w:lang w:val="en-IE"/>
        </w:rPr>
        <w:t xml:space="preserve">his shows that the housing development carried out to date </w:t>
      </w:r>
      <w:r w:rsidR="00156713">
        <w:rPr>
          <w:rFonts w:ascii="Arial" w:hAnsi="Arial" w:cs="Arial"/>
          <w:bCs/>
          <w:color w:val="000000"/>
          <w:sz w:val="20"/>
          <w:szCs w:val="20"/>
          <w:lang w:val="en-IE"/>
        </w:rPr>
        <w:t xml:space="preserve">in the County </w:t>
      </w:r>
      <w:r w:rsidR="00205148" w:rsidRPr="00156713">
        <w:rPr>
          <w:rFonts w:ascii="Arial" w:hAnsi="Arial" w:cs="Arial"/>
          <w:bCs/>
          <w:color w:val="000000"/>
          <w:sz w:val="20"/>
          <w:szCs w:val="20"/>
          <w:lang w:val="en-IE"/>
        </w:rPr>
        <w:t xml:space="preserve">falls far short of the identified requirement in the Core Strategy. </w:t>
      </w:r>
    </w:p>
    <w:p w:rsidR="00205148" w:rsidRPr="00156713" w:rsidRDefault="00205148" w:rsidP="00CE764C">
      <w:pPr>
        <w:autoSpaceDE w:val="0"/>
        <w:autoSpaceDN w:val="0"/>
        <w:adjustRightInd w:val="0"/>
        <w:spacing w:after="0" w:line="360" w:lineRule="auto"/>
        <w:jc w:val="both"/>
        <w:rPr>
          <w:rFonts w:ascii="Arial" w:hAnsi="Arial" w:cs="Arial"/>
          <w:bCs/>
          <w:color w:val="000000"/>
          <w:sz w:val="20"/>
          <w:szCs w:val="20"/>
          <w:lang w:val="en-IE"/>
        </w:rPr>
      </w:pPr>
    </w:p>
    <w:p w:rsidR="00CE764C" w:rsidRPr="00156713" w:rsidRDefault="008C319C" w:rsidP="00CE764C">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2.5 </w:t>
      </w:r>
      <w:r w:rsidR="00CE764C" w:rsidRPr="00156713">
        <w:rPr>
          <w:rFonts w:ascii="Arial" w:hAnsi="Arial" w:cs="Arial"/>
          <w:b/>
          <w:bCs/>
          <w:color w:val="000000"/>
          <w:sz w:val="20"/>
          <w:szCs w:val="20"/>
          <w:lang w:val="en-IE"/>
        </w:rPr>
        <w:t xml:space="preserve">Social Housing </w:t>
      </w:r>
    </w:p>
    <w:p w:rsidR="00205148" w:rsidRPr="00156713" w:rsidRDefault="00205148" w:rsidP="00CE764C">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The number of persons of the social housing waiting list for a dwelling in </w:t>
      </w:r>
      <w:r w:rsidR="00156713">
        <w:rPr>
          <w:rFonts w:ascii="Arial" w:hAnsi="Arial" w:cs="Arial"/>
          <w:bCs/>
          <w:color w:val="000000"/>
          <w:sz w:val="20"/>
          <w:szCs w:val="20"/>
          <w:lang w:val="en-IE"/>
        </w:rPr>
        <w:t>County Cavan</w:t>
      </w:r>
      <w:r w:rsidR="001B633F" w:rsidRPr="00156713">
        <w:rPr>
          <w:rFonts w:ascii="Arial" w:hAnsi="Arial" w:cs="Arial"/>
          <w:bCs/>
          <w:color w:val="000000"/>
          <w:sz w:val="20"/>
          <w:szCs w:val="20"/>
          <w:lang w:val="en-IE"/>
        </w:rPr>
        <w:t xml:space="preserve"> (minus Cavan Town)</w:t>
      </w:r>
      <w:r w:rsidR="00156713">
        <w:rPr>
          <w:rFonts w:ascii="Arial" w:hAnsi="Arial" w:cs="Arial"/>
          <w:bCs/>
          <w:color w:val="000000"/>
          <w:sz w:val="20"/>
          <w:szCs w:val="20"/>
          <w:lang w:val="en-IE"/>
        </w:rPr>
        <w:t xml:space="preserve"> </w:t>
      </w:r>
      <w:r w:rsidR="001B633F" w:rsidRPr="00156713">
        <w:rPr>
          <w:rFonts w:ascii="Arial" w:hAnsi="Arial" w:cs="Arial"/>
          <w:bCs/>
          <w:color w:val="000000"/>
          <w:sz w:val="20"/>
          <w:szCs w:val="20"/>
          <w:lang w:val="en-IE"/>
        </w:rPr>
        <w:t>is 613</w:t>
      </w:r>
      <w:r w:rsidRPr="00156713">
        <w:rPr>
          <w:rFonts w:ascii="Arial" w:hAnsi="Arial" w:cs="Arial"/>
          <w:bCs/>
          <w:color w:val="000000"/>
          <w:sz w:val="20"/>
          <w:szCs w:val="20"/>
          <w:lang w:val="en-IE"/>
        </w:rPr>
        <w:t xml:space="preserve">. This figure clearly indicates that there is a demand for social housing in the town. </w:t>
      </w:r>
    </w:p>
    <w:p w:rsidR="00205148" w:rsidRPr="005E6195" w:rsidRDefault="00205148" w:rsidP="00205148">
      <w:pPr>
        <w:autoSpaceDE w:val="0"/>
        <w:autoSpaceDN w:val="0"/>
        <w:adjustRightInd w:val="0"/>
        <w:spacing w:after="0" w:line="240" w:lineRule="auto"/>
        <w:rPr>
          <w:rFonts w:ascii="Arial" w:hAnsi="Arial" w:cs="Arial"/>
          <w:bCs/>
          <w:color w:val="000000"/>
          <w:sz w:val="24"/>
          <w:szCs w:val="24"/>
          <w:lang w:val="en-IE"/>
        </w:rPr>
      </w:pPr>
    </w:p>
    <w:p w:rsidR="00205148" w:rsidRDefault="00205148" w:rsidP="00205148">
      <w:pPr>
        <w:autoSpaceDE w:val="0"/>
        <w:autoSpaceDN w:val="0"/>
        <w:adjustRightInd w:val="0"/>
        <w:spacing w:after="0" w:line="240" w:lineRule="auto"/>
        <w:rPr>
          <w:rFonts w:ascii="Arial" w:hAnsi="Arial" w:cs="Arial"/>
          <w:b/>
          <w:bCs/>
          <w:color w:val="000000"/>
          <w:sz w:val="24"/>
          <w:szCs w:val="24"/>
          <w:lang w:val="en-IE"/>
        </w:rPr>
      </w:pPr>
    </w:p>
    <w:p w:rsidR="00205148" w:rsidRDefault="008C319C" w:rsidP="00205148">
      <w:pPr>
        <w:autoSpaceDE w:val="0"/>
        <w:autoSpaceDN w:val="0"/>
        <w:adjustRightInd w:val="0"/>
        <w:spacing w:after="0" w:line="240" w:lineRule="auto"/>
        <w:rPr>
          <w:rFonts w:ascii="Arial" w:hAnsi="Arial" w:cs="Arial"/>
          <w:b/>
          <w:bCs/>
          <w:color w:val="000000"/>
          <w:sz w:val="24"/>
          <w:szCs w:val="24"/>
          <w:lang w:val="en-IE"/>
        </w:rPr>
      </w:pPr>
      <w:r>
        <w:rPr>
          <w:rFonts w:ascii="Arial" w:hAnsi="Arial" w:cs="Arial"/>
          <w:b/>
          <w:bCs/>
          <w:color w:val="000000"/>
          <w:sz w:val="24"/>
          <w:szCs w:val="24"/>
          <w:lang w:val="en-IE"/>
        </w:rPr>
        <w:t xml:space="preserve">2.6 </w:t>
      </w:r>
      <w:r w:rsidR="005A117C">
        <w:rPr>
          <w:rFonts w:ascii="Arial" w:hAnsi="Arial" w:cs="Arial"/>
          <w:b/>
          <w:bCs/>
          <w:color w:val="000000"/>
          <w:sz w:val="24"/>
          <w:szCs w:val="24"/>
          <w:lang w:val="en-IE"/>
        </w:rPr>
        <w:t xml:space="preserve">County </w:t>
      </w:r>
      <w:r w:rsidR="00205148">
        <w:rPr>
          <w:rFonts w:ascii="Arial" w:hAnsi="Arial" w:cs="Arial"/>
          <w:b/>
          <w:bCs/>
          <w:color w:val="000000"/>
          <w:sz w:val="24"/>
          <w:szCs w:val="24"/>
          <w:lang w:val="en-IE"/>
        </w:rPr>
        <w:t xml:space="preserve">House and Rental Prices </w:t>
      </w:r>
    </w:p>
    <w:p w:rsidR="00205148" w:rsidRDefault="00205148" w:rsidP="00205148">
      <w:pPr>
        <w:autoSpaceDE w:val="0"/>
        <w:autoSpaceDN w:val="0"/>
        <w:adjustRightInd w:val="0"/>
        <w:spacing w:after="0" w:line="240" w:lineRule="auto"/>
        <w:rPr>
          <w:rFonts w:ascii="Arial" w:hAnsi="Arial" w:cs="Arial"/>
          <w:b/>
          <w:bCs/>
          <w:color w:val="000000"/>
          <w:sz w:val="24"/>
          <w:szCs w:val="24"/>
          <w:lang w:val="en-IE"/>
        </w:rPr>
      </w:pPr>
    </w:p>
    <w:p w:rsidR="00205148" w:rsidRPr="00CE764C" w:rsidRDefault="00CE764C" w:rsidP="00205148">
      <w:pPr>
        <w:autoSpaceDE w:val="0"/>
        <w:autoSpaceDN w:val="0"/>
        <w:adjustRightInd w:val="0"/>
        <w:spacing w:after="0" w:line="240" w:lineRule="auto"/>
        <w:rPr>
          <w:rFonts w:ascii="Arial" w:hAnsi="Arial" w:cs="Arial"/>
          <w:b/>
          <w:bCs/>
          <w:color w:val="000000"/>
          <w:sz w:val="18"/>
          <w:szCs w:val="18"/>
          <w:lang w:val="en-IE"/>
        </w:rPr>
      </w:pPr>
      <w:r w:rsidRPr="00CE764C">
        <w:rPr>
          <w:rFonts w:ascii="Arial" w:hAnsi="Arial" w:cs="Arial"/>
          <w:b/>
          <w:bCs/>
          <w:color w:val="000000"/>
          <w:sz w:val="18"/>
          <w:szCs w:val="18"/>
          <w:lang w:val="en-IE"/>
        </w:rPr>
        <w:t xml:space="preserve">Table 2 Average Asking Price and Monthly Rents </w:t>
      </w:r>
    </w:p>
    <w:tbl>
      <w:tblPr>
        <w:tblStyle w:val="LightList-Accent2"/>
        <w:tblW w:w="10632" w:type="dxa"/>
        <w:tblLook w:val="04A0"/>
      </w:tblPr>
      <w:tblGrid>
        <w:gridCol w:w="1135"/>
        <w:gridCol w:w="850"/>
        <w:gridCol w:w="992"/>
        <w:gridCol w:w="750"/>
        <w:gridCol w:w="951"/>
        <w:gridCol w:w="852"/>
        <w:gridCol w:w="991"/>
        <w:gridCol w:w="1134"/>
        <w:gridCol w:w="851"/>
        <w:gridCol w:w="992"/>
        <w:gridCol w:w="1134"/>
      </w:tblGrid>
      <w:tr w:rsidR="005E6195" w:rsidRPr="005E6195" w:rsidTr="007D6F34">
        <w:trPr>
          <w:cnfStyle w:val="100000000000"/>
        </w:trPr>
        <w:tc>
          <w:tcPr>
            <w:cnfStyle w:val="001000000000"/>
            <w:tcW w:w="1135" w:type="dxa"/>
          </w:tcPr>
          <w:p w:rsidR="005E6195" w:rsidRDefault="005E6195" w:rsidP="001B633F">
            <w:pPr>
              <w:autoSpaceDE w:val="0"/>
              <w:autoSpaceDN w:val="0"/>
              <w:adjustRightInd w:val="0"/>
              <w:rPr>
                <w:rFonts w:ascii="Arial" w:hAnsi="Arial" w:cs="Arial"/>
                <w:b w:val="0"/>
                <w:bCs w:val="0"/>
                <w:color w:val="000000"/>
                <w:sz w:val="16"/>
                <w:szCs w:val="16"/>
                <w:lang w:val="en-IE"/>
              </w:rPr>
            </w:pPr>
          </w:p>
          <w:p w:rsidR="00205148" w:rsidRPr="005E6195" w:rsidRDefault="00205148" w:rsidP="001B633F">
            <w:pPr>
              <w:autoSpaceDE w:val="0"/>
              <w:autoSpaceDN w:val="0"/>
              <w:adjustRightInd w:val="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xml:space="preserve">Period </w:t>
            </w:r>
          </w:p>
        </w:tc>
        <w:tc>
          <w:tcPr>
            <w:tcW w:w="850"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1 bed Apt</w:t>
            </w:r>
          </w:p>
        </w:tc>
        <w:tc>
          <w:tcPr>
            <w:tcW w:w="992"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xml:space="preserve">% annual change </w:t>
            </w:r>
          </w:p>
        </w:tc>
        <w:tc>
          <w:tcPr>
            <w:tcW w:w="750"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xml:space="preserve">2 bed terrace </w:t>
            </w:r>
          </w:p>
        </w:tc>
        <w:tc>
          <w:tcPr>
            <w:tcW w:w="951"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annual change</w:t>
            </w:r>
          </w:p>
        </w:tc>
        <w:tc>
          <w:tcPr>
            <w:tcW w:w="852"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3 bed semi d</w:t>
            </w:r>
          </w:p>
        </w:tc>
        <w:tc>
          <w:tcPr>
            <w:tcW w:w="991"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annual change</w:t>
            </w:r>
          </w:p>
        </w:tc>
        <w:tc>
          <w:tcPr>
            <w:tcW w:w="1134"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4 bed bungalow</w:t>
            </w:r>
          </w:p>
        </w:tc>
        <w:tc>
          <w:tcPr>
            <w:tcW w:w="851"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annual change</w:t>
            </w:r>
          </w:p>
        </w:tc>
        <w:tc>
          <w:tcPr>
            <w:tcW w:w="992" w:type="dxa"/>
          </w:tcPr>
          <w:p w:rsidR="00205148" w:rsidRPr="005E6195" w:rsidRDefault="00205148" w:rsidP="001B633F">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xml:space="preserve">5 bed detached </w:t>
            </w:r>
          </w:p>
        </w:tc>
        <w:tc>
          <w:tcPr>
            <w:tcW w:w="1134" w:type="dxa"/>
          </w:tcPr>
          <w:p w:rsidR="00205148" w:rsidRPr="005E6195" w:rsidRDefault="00205148" w:rsidP="0064493A">
            <w:pPr>
              <w:autoSpaceDE w:val="0"/>
              <w:autoSpaceDN w:val="0"/>
              <w:adjustRightInd w:val="0"/>
              <w:ind w:right="68"/>
              <w:cnfStyle w:val="100000000000"/>
              <w:rPr>
                <w:rFonts w:ascii="Arial" w:hAnsi="Arial" w:cs="Arial"/>
                <w:b w:val="0"/>
                <w:bCs w:val="0"/>
                <w:color w:val="000000"/>
                <w:sz w:val="16"/>
                <w:szCs w:val="16"/>
                <w:lang w:val="en-IE"/>
              </w:rPr>
            </w:pPr>
            <w:r w:rsidRPr="005E6195">
              <w:rPr>
                <w:rFonts w:ascii="Arial" w:hAnsi="Arial" w:cs="Arial"/>
                <w:b w:val="0"/>
                <w:bCs w:val="0"/>
                <w:color w:val="000000"/>
                <w:sz w:val="16"/>
                <w:szCs w:val="16"/>
                <w:lang w:val="en-IE"/>
              </w:rPr>
              <w:t>% annual change</w:t>
            </w:r>
          </w:p>
        </w:tc>
      </w:tr>
      <w:tr w:rsidR="005E6195" w:rsidRPr="005E6195" w:rsidTr="007D6F34">
        <w:trPr>
          <w:cnfStyle w:val="000000100000"/>
        </w:trPr>
        <w:tc>
          <w:tcPr>
            <w:cnfStyle w:val="001000000000"/>
            <w:tcW w:w="3727" w:type="dxa"/>
            <w:gridSpan w:val="4"/>
          </w:tcPr>
          <w:p w:rsidR="00205148" w:rsidRPr="007D6F34" w:rsidRDefault="00205148" w:rsidP="001B633F">
            <w:pPr>
              <w:autoSpaceDE w:val="0"/>
              <w:autoSpaceDN w:val="0"/>
              <w:adjustRightInd w:val="0"/>
              <w:rPr>
                <w:rFonts w:ascii="Arial" w:hAnsi="Arial" w:cs="Arial"/>
                <w:bCs w:val="0"/>
                <w:color w:val="000000"/>
                <w:sz w:val="24"/>
                <w:szCs w:val="24"/>
                <w:lang w:val="en-IE"/>
              </w:rPr>
            </w:pPr>
            <w:r w:rsidRPr="007D6F34">
              <w:rPr>
                <w:rFonts w:ascii="Arial" w:hAnsi="Arial" w:cs="Arial"/>
                <w:bCs w:val="0"/>
                <w:color w:val="000000"/>
                <w:sz w:val="24"/>
                <w:szCs w:val="24"/>
                <w:lang w:val="en-IE"/>
              </w:rPr>
              <w:t xml:space="preserve">Average asking price </w:t>
            </w:r>
            <w:r w:rsidR="007D6F34">
              <w:rPr>
                <w:rFonts w:ascii="Arial" w:hAnsi="Arial" w:cs="Arial"/>
                <w:bCs w:val="0"/>
                <w:color w:val="000000"/>
                <w:sz w:val="24"/>
                <w:szCs w:val="24"/>
                <w:lang w:val="en-IE"/>
              </w:rPr>
              <w:t>(Sale Price)</w:t>
            </w:r>
          </w:p>
        </w:tc>
        <w:tc>
          <w:tcPr>
            <w:tcW w:w="951"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852"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991"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1134"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851"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992"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c>
          <w:tcPr>
            <w:tcW w:w="1134" w:type="dxa"/>
          </w:tcPr>
          <w:p w:rsidR="00205148" w:rsidRPr="005E6195" w:rsidRDefault="00205148" w:rsidP="001B633F">
            <w:pPr>
              <w:autoSpaceDE w:val="0"/>
              <w:autoSpaceDN w:val="0"/>
              <w:adjustRightInd w:val="0"/>
              <w:cnfStyle w:val="000000100000"/>
              <w:rPr>
                <w:rFonts w:ascii="Arial" w:hAnsi="Arial" w:cs="Arial"/>
                <w:b/>
                <w:bCs/>
                <w:color w:val="000000"/>
                <w:sz w:val="24"/>
                <w:szCs w:val="24"/>
                <w:lang w:val="en-IE"/>
              </w:rPr>
            </w:pPr>
          </w:p>
        </w:tc>
      </w:tr>
      <w:tr w:rsidR="005E6195" w:rsidRPr="005E6195" w:rsidTr="007D6F34">
        <w:tc>
          <w:tcPr>
            <w:cnfStyle w:val="001000000000"/>
            <w:tcW w:w="1135" w:type="dxa"/>
          </w:tcPr>
          <w:p w:rsidR="00205148" w:rsidRPr="005E6195" w:rsidRDefault="00205148" w:rsidP="001B633F">
            <w:pPr>
              <w:autoSpaceDE w:val="0"/>
              <w:autoSpaceDN w:val="0"/>
              <w:adjustRightInd w:val="0"/>
              <w:rPr>
                <w:rFonts w:ascii="Arial" w:hAnsi="Arial" w:cs="Arial"/>
                <w:b w:val="0"/>
                <w:bCs w:val="0"/>
                <w:color w:val="000000"/>
                <w:sz w:val="24"/>
                <w:szCs w:val="24"/>
                <w:lang w:val="en-IE"/>
              </w:rPr>
            </w:pPr>
            <w:r w:rsidRPr="005E6195">
              <w:rPr>
                <w:rFonts w:ascii="Arial" w:hAnsi="Arial" w:cs="Arial"/>
                <w:b w:val="0"/>
                <w:bCs w:val="0"/>
                <w:color w:val="000000"/>
                <w:sz w:val="24"/>
                <w:szCs w:val="24"/>
                <w:lang w:val="en-IE"/>
              </w:rPr>
              <w:t xml:space="preserve">Q1 </w:t>
            </w:r>
          </w:p>
          <w:p w:rsidR="00205148" w:rsidRPr="005E6195" w:rsidRDefault="00205148" w:rsidP="001B633F">
            <w:pPr>
              <w:autoSpaceDE w:val="0"/>
              <w:autoSpaceDN w:val="0"/>
              <w:adjustRightInd w:val="0"/>
              <w:rPr>
                <w:rFonts w:ascii="Arial" w:hAnsi="Arial" w:cs="Arial"/>
                <w:b w:val="0"/>
                <w:bCs w:val="0"/>
                <w:color w:val="000000"/>
                <w:sz w:val="24"/>
                <w:szCs w:val="24"/>
                <w:lang w:val="en-IE"/>
              </w:rPr>
            </w:pPr>
            <w:r w:rsidRPr="005E6195">
              <w:rPr>
                <w:rFonts w:ascii="Arial" w:hAnsi="Arial" w:cs="Arial"/>
                <w:b w:val="0"/>
                <w:bCs w:val="0"/>
                <w:color w:val="000000"/>
                <w:sz w:val="24"/>
                <w:szCs w:val="24"/>
                <w:lang w:val="en-IE"/>
              </w:rPr>
              <w:t>201</w:t>
            </w:r>
            <w:r w:rsidR="005E6195" w:rsidRPr="005E6195">
              <w:rPr>
                <w:rFonts w:ascii="Arial" w:hAnsi="Arial" w:cs="Arial"/>
                <w:b w:val="0"/>
                <w:bCs w:val="0"/>
                <w:color w:val="000000"/>
                <w:sz w:val="24"/>
                <w:szCs w:val="24"/>
                <w:lang w:val="en-IE"/>
              </w:rPr>
              <w:t>8</w:t>
            </w:r>
          </w:p>
        </w:tc>
        <w:tc>
          <w:tcPr>
            <w:tcW w:w="850"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99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7.0%</w:t>
            </w:r>
          </w:p>
        </w:tc>
        <w:tc>
          <w:tcPr>
            <w:tcW w:w="750"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€63</w:t>
            </w:r>
          </w:p>
        </w:tc>
        <w:tc>
          <w:tcPr>
            <w:tcW w:w="95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w:t>
            </w:r>
          </w:p>
        </w:tc>
        <w:tc>
          <w:tcPr>
            <w:tcW w:w="85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99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1134"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€174</w:t>
            </w:r>
          </w:p>
        </w:tc>
        <w:tc>
          <w:tcPr>
            <w:tcW w:w="85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3.8%</w:t>
            </w:r>
          </w:p>
        </w:tc>
        <w:tc>
          <w:tcPr>
            <w:tcW w:w="99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€188</w:t>
            </w:r>
          </w:p>
        </w:tc>
        <w:tc>
          <w:tcPr>
            <w:tcW w:w="1134"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-4.2%</w:t>
            </w:r>
          </w:p>
        </w:tc>
      </w:tr>
      <w:tr w:rsidR="005E6195" w:rsidRPr="005E6195" w:rsidTr="007D6F34">
        <w:trPr>
          <w:cnfStyle w:val="000000100000"/>
        </w:trPr>
        <w:tc>
          <w:tcPr>
            <w:cnfStyle w:val="001000000000"/>
            <w:tcW w:w="1135" w:type="dxa"/>
          </w:tcPr>
          <w:p w:rsidR="00205148" w:rsidRPr="005E6195" w:rsidRDefault="00205148" w:rsidP="001B633F">
            <w:pPr>
              <w:autoSpaceDE w:val="0"/>
              <w:autoSpaceDN w:val="0"/>
              <w:adjustRightInd w:val="0"/>
              <w:rPr>
                <w:rFonts w:ascii="Arial" w:hAnsi="Arial" w:cs="Arial"/>
                <w:b w:val="0"/>
                <w:bCs w:val="0"/>
                <w:color w:val="000000"/>
                <w:sz w:val="24"/>
                <w:szCs w:val="24"/>
                <w:lang w:val="en-IE"/>
              </w:rPr>
            </w:pPr>
            <w:r w:rsidRPr="005E6195">
              <w:rPr>
                <w:rFonts w:ascii="Arial" w:hAnsi="Arial" w:cs="Arial"/>
                <w:b w:val="0"/>
                <w:bCs w:val="0"/>
                <w:color w:val="000000"/>
                <w:sz w:val="24"/>
                <w:szCs w:val="24"/>
                <w:lang w:val="en-IE"/>
              </w:rPr>
              <w:t>Q1</w:t>
            </w:r>
          </w:p>
          <w:p w:rsidR="00205148" w:rsidRPr="005E6195" w:rsidRDefault="00205148" w:rsidP="001B633F">
            <w:pPr>
              <w:autoSpaceDE w:val="0"/>
              <w:autoSpaceDN w:val="0"/>
              <w:adjustRightInd w:val="0"/>
              <w:rPr>
                <w:rFonts w:ascii="Arial" w:hAnsi="Arial" w:cs="Arial"/>
                <w:b w:val="0"/>
                <w:bCs w:val="0"/>
                <w:color w:val="000000"/>
                <w:sz w:val="24"/>
                <w:szCs w:val="24"/>
                <w:lang w:val="en-IE"/>
              </w:rPr>
            </w:pPr>
            <w:r w:rsidRPr="005E6195">
              <w:rPr>
                <w:rFonts w:ascii="Arial" w:hAnsi="Arial" w:cs="Arial"/>
                <w:b w:val="0"/>
                <w:bCs w:val="0"/>
                <w:color w:val="000000"/>
                <w:sz w:val="24"/>
                <w:szCs w:val="24"/>
                <w:lang w:val="en-IE"/>
              </w:rPr>
              <w:t>201</w:t>
            </w:r>
            <w:r w:rsidR="005E6195" w:rsidRPr="005E6195">
              <w:rPr>
                <w:rFonts w:ascii="Arial" w:hAnsi="Arial" w:cs="Arial"/>
                <w:b w:val="0"/>
                <w:bCs w:val="0"/>
                <w:color w:val="000000"/>
                <w:sz w:val="24"/>
                <w:szCs w:val="24"/>
                <w:lang w:val="en-IE"/>
              </w:rPr>
              <w:t>7</w:t>
            </w:r>
          </w:p>
        </w:tc>
        <w:tc>
          <w:tcPr>
            <w:tcW w:w="850"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€45</w:t>
            </w:r>
          </w:p>
        </w:tc>
        <w:tc>
          <w:tcPr>
            <w:tcW w:w="99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w:t>
            </w:r>
          </w:p>
        </w:tc>
        <w:tc>
          <w:tcPr>
            <w:tcW w:w="750"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€59</w:t>
            </w:r>
          </w:p>
        </w:tc>
        <w:tc>
          <w:tcPr>
            <w:tcW w:w="95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16.2%</w:t>
            </w:r>
          </w:p>
        </w:tc>
        <w:tc>
          <w:tcPr>
            <w:tcW w:w="85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€87</w:t>
            </w:r>
          </w:p>
        </w:tc>
        <w:tc>
          <w:tcPr>
            <w:tcW w:w="99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12.4%</w:t>
            </w:r>
          </w:p>
        </w:tc>
        <w:tc>
          <w:tcPr>
            <w:tcW w:w="1134"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€168</w:t>
            </w:r>
          </w:p>
        </w:tc>
        <w:tc>
          <w:tcPr>
            <w:tcW w:w="85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4.8%</w:t>
            </w:r>
          </w:p>
        </w:tc>
        <w:tc>
          <w:tcPr>
            <w:tcW w:w="99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€197</w:t>
            </w:r>
          </w:p>
        </w:tc>
        <w:tc>
          <w:tcPr>
            <w:tcW w:w="1134"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9.1%</w:t>
            </w:r>
          </w:p>
        </w:tc>
      </w:tr>
      <w:tr w:rsidR="005E6195" w:rsidRPr="005E6195" w:rsidTr="007D6F34">
        <w:trPr>
          <w:trHeight w:val="431"/>
        </w:trPr>
        <w:tc>
          <w:tcPr>
            <w:cnfStyle w:val="001000000000"/>
            <w:tcW w:w="3727" w:type="dxa"/>
            <w:gridSpan w:val="4"/>
          </w:tcPr>
          <w:p w:rsidR="00205148" w:rsidRPr="007D6F34" w:rsidRDefault="00205148" w:rsidP="001B633F">
            <w:pPr>
              <w:autoSpaceDE w:val="0"/>
              <w:autoSpaceDN w:val="0"/>
              <w:adjustRightInd w:val="0"/>
              <w:rPr>
                <w:rFonts w:ascii="Arial" w:hAnsi="Arial" w:cs="Arial"/>
                <w:bCs w:val="0"/>
                <w:color w:val="000000"/>
                <w:sz w:val="24"/>
                <w:szCs w:val="24"/>
                <w:lang w:val="en-IE"/>
              </w:rPr>
            </w:pPr>
            <w:r w:rsidRPr="007D6F34">
              <w:rPr>
                <w:rFonts w:ascii="Arial" w:hAnsi="Arial" w:cs="Arial"/>
                <w:bCs w:val="0"/>
                <w:color w:val="000000"/>
                <w:sz w:val="24"/>
                <w:szCs w:val="24"/>
                <w:lang w:val="en-IE"/>
              </w:rPr>
              <w:t xml:space="preserve">Average Monthly Rents </w:t>
            </w:r>
            <w:r w:rsidR="007D6F34">
              <w:rPr>
                <w:rFonts w:ascii="Arial" w:hAnsi="Arial" w:cs="Arial"/>
                <w:bCs w:val="0"/>
                <w:color w:val="000000"/>
                <w:sz w:val="24"/>
                <w:szCs w:val="24"/>
                <w:lang w:val="en-IE"/>
              </w:rPr>
              <w:t>(Rental Price)</w:t>
            </w:r>
          </w:p>
        </w:tc>
        <w:tc>
          <w:tcPr>
            <w:tcW w:w="951"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852"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991"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1134"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851"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992"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c>
          <w:tcPr>
            <w:tcW w:w="1134" w:type="dxa"/>
          </w:tcPr>
          <w:p w:rsidR="00205148" w:rsidRPr="005E6195" w:rsidRDefault="00205148" w:rsidP="001B633F">
            <w:pPr>
              <w:autoSpaceDE w:val="0"/>
              <w:autoSpaceDN w:val="0"/>
              <w:adjustRightInd w:val="0"/>
              <w:cnfStyle w:val="000000000000"/>
              <w:rPr>
                <w:rFonts w:ascii="Arial" w:hAnsi="Arial" w:cs="Arial"/>
                <w:b/>
                <w:bCs/>
                <w:color w:val="000000"/>
                <w:sz w:val="24"/>
                <w:szCs w:val="24"/>
                <w:lang w:val="en-IE"/>
              </w:rPr>
            </w:pPr>
          </w:p>
        </w:tc>
      </w:tr>
      <w:tr w:rsidR="005E6195" w:rsidRPr="006474C3" w:rsidTr="007D6F34">
        <w:trPr>
          <w:cnfStyle w:val="000000100000"/>
        </w:trPr>
        <w:tc>
          <w:tcPr>
            <w:cnfStyle w:val="001000000000"/>
            <w:tcW w:w="1135" w:type="dxa"/>
          </w:tcPr>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Q4</w:t>
            </w:r>
          </w:p>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201</w:t>
            </w:r>
            <w:r w:rsidR="005E6195">
              <w:rPr>
                <w:rFonts w:ascii="Arial" w:hAnsi="Arial" w:cs="Arial"/>
                <w:b w:val="0"/>
                <w:bCs w:val="0"/>
                <w:color w:val="000000"/>
                <w:sz w:val="24"/>
                <w:szCs w:val="24"/>
                <w:lang w:val="en-IE"/>
              </w:rPr>
              <w:t>7</w:t>
            </w:r>
          </w:p>
        </w:tc>
        <w:tc>
          <w:tcPr>
            <w:tcW w:w="850"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€478</w:t>
            </w:r>
          </w:p>
        </w:tc>
        <w:tc>
          <w:tcPr>
            <w:tcW w:w="99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9.5%</w:t>
            </w:r>
          </w:p>
        </w:tc>
        <w:tc>
          <w:tcPr>
            <w:tcW w:w="750" w:type="dxa"/>
          </w:tcPr>
          <w:p w:rsidR="00205148" w:rsidRPr="005E6195" w:rsidRDefault="005E6195" w:rsidP="001B633F">
            <w:pPr>
              <w:autoSpaceDE w:val="0"/>
              <w:autoSpaceDN w:val="0"/>
              <w:adjustRightInd w:val="0"/>
              <w:cnfStyle w:val="000000100000"/>
              <w:rPr>
                <w:lang w:val="en-IE"/>
              </w:rPr>
            </w:pPr>
            <w:r w:rsidRPr="005E6195">
              <w:rPr>
                <w:lang w:val="en-IE"/>
              </w:rPr>
              <w:t>€541</w:t>
            </w:r>
          </w:p>
        </w:tc>
        <w:tc>
          <w:tcPr>
            <w:tcW w:w="95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9.0%</w:t>
            </w:r>
          </w:p>
        </w:tc>
        <w:tc>
          <w:tcPr>
            <w:tcW w:w="85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€645</w:t>
            </w:r>
          </w:p>
        </w:tc>
        <w:tc>
          <w:tcPr>
            <w:tcW w:w="99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8.3%</w:t>
            </w:r>
          </w:p>
        </w:tc>
        <w:tc>
          <w:tcPr>
            <w:tcW w:w="1134"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€703</w:t>
            </w:r>
          </w:p>
        </w:tc>
        <w:tc>
          <w:tcPr>
            <w:tcW w:w="851"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8.4%</w:t>
            </w:r>
          </w:p>
        </w:tc>
        <w:tc>
          <w:tcPr>
            <w:tcW w:w="992"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€725</w:t>
            </w:r>
          </w:p>
        </w:tc>
        <w:tc>
          <w:tcPr>
            <w:tcW w:w="1134" w:type="dxa"/>
          </w:tcPr>
          <w:p w:rsidR="00205148" w:rsidRPr="005E6195" w:rsidRDefault="005E6195" w:rsidP="001B633F">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-0.9%</w:t>
            </w:r>
          </w:p>
        </w:tc>
      </w:tr>
      <w:tr w:rsidR="005E6195" w:rsidRPr="006474C3" w:rsidTr="007D6F34">
        <w:tc>
          <w:tcPr>
            <w:cnfStyle w:val="001000000000"/>
            <w:tcW w:w="1135" w:type="dxa"/>
          </w:tcPr>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Q4</w:t>
            </w:r>
          </w:p>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201</w:t>
            </w:r>
            <w:r w:rsidR="005E6195">
              <w:rPr>
                <w:rFonts w:ascii="Arial" w:hAnsi="Arial" w:cs="Arial"/>
                <w:b w:val="0"/>
                <w:bCs w:val="0"/>
                <w:color w:val="000000"/>
                <w:sz w:val="24"/>
                <w:szCs w:val="24"/>
                <w:lang w:val="en-IE"/>
              </w:rPr>
              <w:t>6</w:t>
            </w:r>
          </w:p>
        </w:tc>
        <w:tc>
          <w:tcPr>
            <w:tcW w:w="850"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€436</w:t>
            </w:r>
          </w:p>
        </w:tc>
        <w:tc>
          <w:tcPr>
            <w:tcW w:w="99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750"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€496</w:t>
            </w:r>
          </w:p>
        </w:tc>
        <w:tc>
          <w:tcPr>
            <w:tcW w:w="95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11.2%</w:t>
            </w:r>
          </w:p>
        </w:tc>
        <w:tc>
          <w:tcPr>
            <w:tcW w:w="85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€595</w:t>
            </w:r>
          </w:p>
        </w:tc>
        <w:tc>
          <w:tcPr>
            <w:tcW w:w="99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7.9%</w:t>
            </w:r>
          </w:p>
        </w:tc>
        <w:tc>
          <w:tcPr>
            <w:tcW w:w="1134"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€648</w:t>
            </w:r>
          </w:p>
        </w:tc>
        <w:tc>
          <w:tcPr>
            <w:tcW w:w="851"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9.9%</w:t>
            </w:r>
          </w:p>
        </w:tc>
        <w:tc>
          <w:tcPr>
            <w:tcW w:w="992"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€732</w:t>
            </w:r>
          </w:p>
        </w:tc>
        <w:tc>
          <w:tcPr>
            <w:tcW w:w="1134" w:type="dxa"/>
          </w:tcPr>
          <w:p w:rsidR="00205148" w:rsidRPr="005E6195" w:rsidRDefault="005E6195" w:rsidP="001B633F">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15.0%</w:t>
            </w:r>
          </w:p>
        </w:tc>
      </w:tr>
      <w:tr w:rsidR="005E6195" w:rsidRPr="006474C3" w:rsidTr="007D6F34">
        <w:trPr>
          <w:cnfStyle w:val="000000100000"/>
        </w:trPr>
        <w:tc>
          <w:tcPr>
            <w:cnfStyle w:val="001000000000"/>
            <w:tcW w:w="1135" w:type="dxa"/>
          </w:tcPr>
          <w:p w:rsidR="00205148" w:rsidRDefault="00205148" w:rsidP="001B633F">
            <w:pPr>
              <w:autoSpaceDE w:val="0"/>
              <w:autoSpaceDN w:val="0"/>
              <w:adjustRightInd w:val="0"/>
              <w:rPr>
                <w:rFonts w:ascii="Arial" w:hAnsi="Arial" w:cs="Arial"/>
                <w:b w:val="0"/>
                <w:bCs w:val="0"/>
                <w:color w:val="000000"/>
                <w:sz w:val="24"/>
                <w:szCs w:val="24"/>
                <w:lang w:val="en-IE"/>
              </w:rPr>
            </w:pPr>
          </w:p>
        </w:tc>
        <w:tc>
          <w:tcPr>
            <w:tcW w:w="850"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750"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951"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852"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991"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851"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205148" w:rsidRPr="006474C3" w:rsidRDefault="00205148" w:rsidP="001B633F">
            <w:pPr>
              <w:autoSpaceDE w:val="0"/>
              <w:autoSpaceDN w:val="0"/>
              <w:adjustRightInd w:val="0"/>
              <w:cnfStyle w:val="000000100000"/>
              <w:rPr>
                <w:rFonts w:ascii="Arial" w:hAnsi="Arial" w:cs="Arial"/>
                <w:b/>
                <w:bCs/>
                <w:color w:val="000000"/>
                <w:sz w:val="24"/>
                <w:szCs w:val="24"/>
                <w:highlight w:val="magenta"/>
                <w:lang w:val="en-IE"/>
              </w:rPr>
            </w:pPr>
          </w:p>
        </w:tc>
      </w:tr>
    </w:tbl>
    <w:p w:rsidR="00205148" w:rsidRPr="007D6F34" w:rsidRDefault="00205148" w:rsidP="00205148">
      <w:pPr>
        <w:autoSpaceDE w:val="0"/>
        <w:autoSpaceDN w:val="0"/>
        <w:adjustRightInd w:val="0"/>
        <w:spacing w:after="0" w:line="240" w:lineRule="auto"/>
        <w:rPr>
          <w:rFonts w:ascii="Arial" w:hAnsi="Arial" w:cs="Arial"/>
          <w:b/>
          <w:bCs/>
          <w:color w:val="000000"/>
          <w:sz w:val="18"/>
          <w:szCs w:val="18"/>
          <w:lang w:val="en-IE"/>
        </w:rPr>
      </w:pPr>
      <w:r w:rsidRPr="007D6F34">
        <w:rPr>
          <w:rFonts w:ascii="Arial" w:hAnsi="Arial" w:cs="Arial"/>
          <w:b/>
          <w:bCs/>
          <w:color w:val="000000"/>
          <w:sz w:val="18"/>
          <w:szCs w:val="18"/>
          <w:lang w:val="en-IE"/>
        </w:rPr>
        <w:t xml:space="preserve">Source Daft.ie </w:t>
      </w:r>
    </w:p>
    <w:p w:rsidR="00205148" w:rsidRPr="00156713" w:rsidRDefault="00205148" w:rsidP="00205148">
      <w:pPr>
        <w:autoSpaceDE w:val="0"/>
        <w:autoSpaceDN w:val="0"/>
        <w:adjustRightInd w:val="0"/>
        <w:spacing w:after="0" w:line="240" w:lineRule="auto"/>
        <w:rPr>
          <w:rFonts w:ascii="Arial" w:hAnsi="Arial" w:cs="Arial"/>
          <w:b/>
          <w:bCs/>
          <w:color w:val="000000"/>
          <w:sz w:val="20"/>
          <w:szCs w:val="20"/>
          <w:lang w:val="en-IE"/>
        </w:rPr>
      </w:pPr>
    </w:p>
    <w:p w:rsidR="00205148" w:rsidRPr="00156713" w:rsidRDefault="00CE764C" w:rsidP="00CE764C">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The table above shows the average asking price for houses for sale and the average monthly rents for residential units for sale over the past 2 years. </w:t>
      </w:r>
      <w:r w:rsidR="00205148" w:rsidRPr="00156713">
        <w:rPr>
          <w:rFonts w:ascii="Arial" w:hAnsi="Arial" w:cs="Arial"/>
          <w:bCs/>
          <w:color w:val="000000"/>
          <w:sz w:val="20"/>
          <w:szCs w:val="20"/>
          <w:lang w:val="en-IE"/>
        </w:rPr>
        <w:t xml:space="preserve">The increases in asking and rental prices over the past 2 years are an indication of increasing demands and shortage of supply. </w:t>
      </w:r>
    </w:p>
    <w:p w:rsidR="00205148" w:rsidRPr="005E6195" w:rsidRDefault="00205148" w:rsidP="00CE764C">
      <w:pPr>
        <w:autoSpaceDE w:val="0"/>
        <w:autoSpaceDN w:val="0"/>
        <w:adjustRightInd w:val="0"/>
        <w:spacing w:after="0" w:line="240" w:lineRule="auto"/>
        <w:jc w:val="both"/>
        <w:rPr>
          <w:rFonts w:ascii="Arial" w:hAnsi="Arial" w:cs="Arial"/>
          <w:bCs/>
          <w:color w:val="000000"/>
          <w:sz w:val="24"/>
          <w:szCs w:val="24"/>
          <w:lang w:val="en-IE"/>
        </w:rPr>
      </w:pPr>
    </w:p>
    <w:p w:rsidR="005E6195" w:rsidRDefault="005E6195" w:rsidP="00205148">
      <w:pPr>
        <w:autoSpaceDE w:val="0"/>
        <w:autoSpaceDN w:val="0"/>
        <w:adjustRightInd w:val="0"/>
        <w:spacing w:after="0" w:line="240" w:lineRule="auto"/>
        <w:rPr>
          <w:rFonts w:ascii="Arial" w:hAnsi="Arial" w:cs="Arial"/>
          <w:bCs/>
          <w:color w:val="000000"/>
          <w:sz w:val="24"/>
          <w:szCs w:val="24"/>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7D6F34" w:rsidRDefault="007D6F34" w:rsidP="00205148">
      <w:pPr>
        <w:autoSpaceDE w:val="0"/>
        <w:autoSpaceDN w:val="0"/>
        <w:adjustRightInd w:val="0"/>
        <w:spacing w:after="0" w:line="240" w:lineRule="auto"/>
        <w:rPr>
          <w:rFonts w:ascii="Arial" w:hAnsi="Arial" w:cs="Arial"/>
          <w:bCs/>
          <w:color w:val="000000"/>
          <w:sz w:val="24"/>
          <w:szCs w:val="24"/>
          <w:lang w:val="en-IE"/>
        </w:rPr>
      </w:pPr>
    </w:p>
    <w:p w:rsidR="00633804" w:rsidRDefault="00633804" w:rsidP="00205148">
      <w:pPr>
        <w:autoSpaceDE w:val="0"/>
        <w:autoSpaceDN w:val="0"/>
        <w:adjustRightInd w:val="0"/>
        <w:spacing w:after="0" w:line="240" w:lineRule="auto"/>
        <w:rPr>
          <w:rFonts w:ascii="Arial" w:hAnsi="Arial" w:cs="Arial"/>
          <w:bCs/>
          <w:color w:val="000000"/>
          <w:sz w:val="24"/>
          <w:szCs w:val="24"/>
          <w:lang w:val="en-IE"/>
        </w:rPr>
      </w:pPr>
    </w:p>
    <w:p w:rsidR="007D6F34" w:rsidRPr="00CE764C" w:rsidRDefault="008C319C" w:rsidP="00205148">
      <w:pPr>
        <w:autoSpaceDE w:val="0"/>
        <w:autoSpaceDN w:val="0"/>
        <w:adjustRightInd w:val="0"/>
        <w:spacing w:after="0" w:line="240" w:lineRule="auto"/>
        <w:rPr>
          <w:rFonts w:ascii="Arial" w:hAnsi="Arial" w:cs="Arial"/>
          <w:b/>
          <w:bCs/>
          <w:color w:val="000000"/>
          <w:sz w:val="24"/>
          <w:szCs w:val="24"/>
          <w:lang w:val="en-IE"/>
        </w:rPr>
      </w:pPr>
      <w:r w:rsidRPr="008C319C">
        <w:rPr>
          <w:rFonts w:ascii="Arial" w:hAnsi="Arial" w:cs="Arial"/>
          <w:b/>
          <w:bCs/>
          <w:color w:val="000000"/>
          <w:sz w:val="24"/>
          <w:szCs w:val="24"/>
          <w:lang w:val="en-IE"/>
        </w:rPr>
        <w:lastRenderedPageBreak/>
        <w:t>2.7</w:t>
      </w:r>
      <w:r>
        <w:rPr>
          <w:rFonts w:ascii="Arial" w:hAnsi="Arial" w:cs="Arial"/>
          <w:bCs/>
          <w:color w:val="000000"/>
          <w:sz w:val="24"/>
          <w:szCs w:val="24"/>
          <w:lang w:val="en-IE"/>
        </w:rPr>
        <w:t xml:space="preserve"> </w:t>
      </w:r>
      <w:r w:rsidR="005A117C">
        <w:rPr>
          <w:rFonts w:ascii="Arial" w:hAnsi="Arial" w:cs="Arial"/>
          <w:b/>
          <w:bCs/>
          <w:color w:val="000000"/>
          <w:sz w:val="24"/>
          <w:szCs w:val="24"/>
          <w:lang w:val="en-IE"/>
        </w:rPr>
        <w:t>Percentage of Residenti</w:t>
      </w:r>
      <w:r w:rsidR="00CE764C" w:rsidRPr="00CE764C">
        <w:rPr>
          <w:rFonts w:ascii="Arial" w:hAnsi="Arial" w:cs="Arial"/>
          <w:b/>
          <w:bCs/>
          <w:color w:val="000000"/>
          <w:sz w:val="24"/>
          <w:szCs w:val="24"/>
          <w:lang w:val="en-IE"/>
        </w:rPr>
        <w:t>al Units for Sale or Rent</w:t>
      </w:r>
    </w:p>
    <w:p w:rsidR="007D6F34" w:rsidRPr="005E6195" w:rsidRDefault="007D6F34" w:rsidP="00205148">
      <w:pPr>
        <w:autoSpaceDE w:val="0"/>
        <w:autoSpaceDN w:val="0"/>
        <w:adjustRightInd w:val="0"/>
        <w:spacing w:after="0" w:line="240" w:lineRule="auto"/>
        <w:rPr>
          <w:rFonts w:ascii="Arial" w:hAnsi="Arial" w:cs="Arial"/>
          <w:bCs/>
          <w:color w:val="000000"/>
          <w:sz w:val="24"/>
          <w:szCs w:val="24"/>
          <w:lang w:val="en-IE"/>
        </w:rPr>
      </w:pPr>
    </w:p>
    <w:p w:rsidR="00CE764C" w:rsidRPr="00CE764C" w:rsidRDefault="00977A00" w:rsidP="00CE764C">
      <w:pPr>
        <w:autoSpaceDE w:val="0"/>
        <w:autoSpaceDN w:val="0"/>
        <w:adjustRightInd w:val="0"/>
        <w:spacing w:after="0" w:line="240" w:lineRule="auto"/>
        <w:rPr>
          <w:rFonts w:ascii="Arial" w:hAnsi="Arial" w:cs="Arial"/>
          <w:b/>
          <w:bCs/>
          <w:color w:val="000000"/>
          <w:sz w:val="18"/>
          <w:szCs w:val="18"/>
          <w:lang w:val="en-IE"/>
        </w:rPr>
      </w:pPr>
      <w:r>
        <w:rPr>
          <w:rFonts w:ascii="Arial" w:hAnsi="Arial" w:cs="Arial"/>
          <w:b/>
          <w:bCs/>
          <w:color w:val="000000"/>
          <w:sz w:val="18"/>
          <w:szCs w:val="18"/>
          <w:lang w:val="en-IE"/>
        </w:rPr>
        <w:t>Table 3</w:t>
      </w:r>
      <w:r w:rsidR="00CE764C" w:rsidRPr="00CE764C">
        <w:rPr>
          <w:rFonts w:ascii="Arial" w:hAnsi="Arial" w:cs="Arial"/>
          <w:b/>
          <w:bCs/>
          <w:color w:val="000000"/>
          <w:sz w:val="18"/>
          <w:szCs w:val="18"/>
          <w:lang w:val="en-IE"/>
        </w:rPr>
        <w:t xml:space="preserve"> </w:t>
      </w:r>
      <w:r w:rsidR="00CE764C">
        <w:rPr>
          <w:rFonts w:ascii="Arial" w:hAnsi="Arial" w:cs="Arial"/>
          <w:b/>
          <w:bCs/>
          <w:color w:val="000000"/>
          <w:sz w:val="18"/>
          <w:szCs w:val="18"/>
          <w:lang w:val="en-IE"/>
        </w:rPr>
        <w:t xml:space="preserve">Percentage of Resideital Units for Sale or Rent </w:t>
      </w:r>
      <w:r w:rsidR="00CE764C" w:rsidRPr="00CE764C">
        <w:rPr>
          <w:rFonts w:ascii="Arial" w:hAnsi="Arial" w:cs="Arial"/>
          <w:b/>
          <w:bCs/>
          <w:color w:val="000000"/>
          <w:sz w:val="18"/>
          <w:szCs w:val="18"/>
          <w:lang w:val="en-IE"/>
        </w:rPr>
        <w:t xml:space="preserve"> </w:t>
      </w:r>
    </w:p>
    <w:tbl>
      <w:tblPr>
        <w:tblStyle w:val="LightList-Accent2"/>
        <w:tblW w:w="0" w:type="auto"/>
        <w:tblLook w:val="04A0"/>
      </w:tblPr>
      <w:tblGrid>
        <w:gridCol w:w="1540"/>
        <w:gridCol w:w="1540"/>
        <w:gridCol w:w="1540"/>
        <w:gridCol w:w="1540"/>
        <w:gridCol w:w="1541"/>
        <w:gridCol w:w="1541"/>
      </w:tblGrid>
      <w:tr w:rsidR="00205148" w:rsidTr="0064493A">
        <w:trPr>
          <w:cnfStyle w:val="100000000000"/>
        </w:trPr>
        <w:tc>
          <w:tcPr>
            <w:cnfStyle w:val="001000000000"/>
            <w:tcW w:w="1540" w:type="dxa"/>
          </w:tcPr>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Settlement </w:t>
            </w:r>
          </w:p>
        </w:tc>
        <w:tc>
          <w:tcPr>
            <w:tcW w:w="1540" w:type="dxa"/>
          </w:tcPr>
          <w:p w:rsidR="00205148" w:rsidRDefault="00205148" w:rsidP="001B633F">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Housing Stock </w:t>
            </w:r>
          </w:p>
        </w:tc>
        <w:tc>
          <w:tcPr>
            <w:tcW w:w="1540" w:type="dxa"/>
          </w:tcPr>
          <w:p w:rsidR="00205148" w:rsidRPr="00DB3F39" w:rsidRDefault="00205148" w:rsidP="001B633F">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 xml:space="preserve">Number of Units for Sale </w:t>
            </w:r>
          </w:p>
          <w:p w:rsidR="00205148" w:rsidRPr="00DB3F39" w:rsidRDefault="00DB3F39" w:rsidP="001B633F">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May 2018</w:t>
            </w:r>
            <w:r w:rsidR="00205148" w:rsidRPr="00DB3F39">
              <w:rPr>
                <w:rFonts w:ascii="Arial" w:hAnsi="Arial" w:cs="Arial"/>
                <w:b w:val="0"/>
                <w:bCs w:val="0"/>
                <w:color w:val="000000"/>
                <w:sz w:val="24"/>
                <w:szCs w:val="24"/>
                <w:lang w:val="en-IE"/>
              </w:rPr>
              <w:t xml:space="preserve"> </w:t>
            </w:r>
          </w:p>
        </w:tc>
        <w:tc>
          <w:tcPr>
            <w:tcW w:w="1540" w:type="dxa"/>
          </w:tcPr>
          <w:p w:rsidR="00205148" w:rsidRDefault="00DB3F39" w:rsidP="001B633F">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Number of Units for Rent May 2018</w:t>
            </w:r>
            <w:r w:rsidR="00205148">
              <w:rPr>
                <w:rFonts w:ascii="Arial" w:hAnsi="Arial" w:cs="Arial"/>
                <w:b w:val="0"/>
                <w:bCs w:val="0"/>
                <w:color w:val="000000"/>
                <w:sz w:val="24"/>
                <w:szCs w:val="24"/>
                <w:lang w:val="en-IE"/>
              </w:rPr>
              <w:t xml:space="preserve"> </w:t>
            </w:r>
          </w:p>
        </w:tc>
        <w:tc>
          <w:tcPr>
            <w:tcW w:w="1541" w:type="dxa"/>
          </w:tcPr>
          <w:p w:rsidR="00205148" w:rsidRDefault="00205148" w:rsidP="001B633F">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Total Numbers of Units for sale or rent </w:t>
            </w:r>
          </w:p>
          <w:p w:rsidR="00205148" w:rsidRDefault="00205148" w:rsidP="001B633F">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March 2017 </w:t>
            </w:r>
          </w:p>
        </w:tc>
        <w:tc>
          <w:tcPr>
            <w:tcW w:w="1541" w:type="dxa"/>
          </w:tcPr>
          <w:p w:rsidR="00205148" w:rsidRDefault="00205148" w:rsidP="001B633F">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 units for sale/rent of total housing stock </w:t>
            </w:r>
          </w:p>
        </w:tc>
      </w:tr>
      <w:tr w:rsidR="00205148" w:rsidTr="0064493A">
        <w:trPr>
          <w:cnfStyle w:val="000000100000"/>
        </w:trPr>
        <w:tc>
          <w:tcPr>
            <w:cnfStyle w:val="001000000000"/>
            <w:tcW w:w="1540" w:type="dxa"/>
          </w:tcPr>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County </w:t>
            </w:r>
          </w:p>
        </w:tc>
        <w:tc>
          <w:tcPr>
            <w:tcW w:w="1540" w:type="dxa"/>
          </w:tcPr>
          <w:p w:rsidR="00205148" w:rsidRDefault="005E6195" w:rsidP="001B633F">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33,585</w:t>
            </w:r>
          </w:p>
        </w:tc>
        <w:tc>
          <w:tcPr>
            <w:tcW w:w="1540" w:type="dxa"/>
          </w:tcPr>
          <w:p w:rsidR="00205148" w:rsidRPr="00DB3F39" w:rsidRDefault="000125B2" w:rsidP="001B633F">
            <w:pPr>
              <w:autoSpaceDE w:val="0"/>
              <w:autoSpaceDN w:val="0"/>
              <w:adjustRightInd w:val="0"/>
              <w:cnfStyle w:val="000000100000"/>
              <w:rPr>
                <w:rFonts w:ascii="Arial" w:hAnsi="Arial" w:cs="Arial"/>
                <w:b/>
                <w:bCs/>
                <w:color w:val="000000"/>
                <w:sz w:val="24"/>
                <w:szCs w:val="24"/>
                <w:lang w:val="en-IE"/>
              </w:rPr>
            </w:pPr>
            <w:r w:rsidRPr="00DB3F39">
              <w:rPr>
                <w:rFonts w:ascii="Arial" w:hAnsi="Arial" w:cs="Arial"/>
                <w:b/>
                <w:bCs/>
                <w:color w:val="000000"/>
                <w:sz w:val="24"/>
                <w:szCs w:val="24"/>
                <w:lang w:val="en-IE"/>
              </w:rPr>
              <w:t>258</w:t>
            </w:r>
          </w:p>
        </w:tc>
        <w:tc>
          <w:tcPr>
            <w:tcW w:w="1540" w:type="dxa"/>
          </w:tcPr>
          <w:p w:rsidR="00205148" w:rsidRDefault="00DB3F39" w:rsidP="001B633F">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26</w:t>
            </w:r>
          </w:p>
        </w:tc>
        <w:tc>
          <w:tcPr>
            <w:tcW w:w="1541" w:type="dxa"/>
          </w:tcPr>
          <w:p w:rsidR="00205148" w:rsidRDefault="00DB3F39" w:rsidP="001B633F">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284</w:t>
            </w:r>
          </w:p>
        </w:tc>
        <w:tc>
          <w:tcPr>
            <w:tcW w:w="1541" w:type="dxa"/>
          </w:tcPr>
          <w:p w:rsidR="00205148" w:rsidRDefault="00DB3F39" w:rsidP="001B633F">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0.8%</w:t>
            </w:r>
          </w:p>
        </w:tc>
      </w:tr>
      <w:tr w:rsidR="00205148" w:rsidTr="0064493A">
        <w:tc>
          <w:tcPr>
            <w:cnfStyle w:val="001000000000"/>
            <w:tcW w:w="1540" w:type="dxa"/>
          </w:tcPr>
          <w:p w:rsidR="00205148" w:rsidRDefault="00205148" w:rsidP="001B633F">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Cavan Town </w:t>
            </w:r>
          </w:p>
        </w:tc>
        <w:tc>
          <w:tcPr>
            <w:tcW w:w="1540" w:type="dxa"/>
          </w:tcPr>
          <w:p w:rsidR="00205148" w:rsidRDefault="005E6195" w:rsidP="001B633F">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4813</w:t>
            </w:r>
          </w:p>
        </w:tc>
        <w:tc>
          <w:tcPr>
            <w:tcW w:w="1540" w:type="dxa"/>
          </w:tcPr>
          <w:p w:rsidR="00205148" w:rsidRPr="00DB3F39" w:rsidRDefault="000125B2" w:rsidP="001B633F">
            <w:pPr>
              <w:autoSpaceDE w:val="0"/>
              <w:autoSpaceDN w:val="0"/>
              <w:adjustRightInd w:val="0"/>
              <w:cnfStyle w:val="000000000000"/>
              <w:rPr>
                <w:rFonts w:ascii="Arial" w:hAnsi="Arial" w:cs="Arial"/>
                <w:b/>
                <w:bCs/>
                <w:color w:val="000000"/>
                <w:sz w:val="24"/>
                <w:szCs w:val="24"/>
                <w:lang w:val="en-IE"/>
              </w:rPr>
            </w:pPr>
            <w:r w:rsidRPr="00DB3F39">
              <w:rPr>
                <w:rFonts w:ascii="Arial" w:hAnsi="Arial" w:cs="Arial"/>
                <w:b/>
                <w:bCs/>
                <w:color w:val="000000"/>
                <w:sz w:val="24"/>
                <w:szCs w:val="24"/>
                <w:lang w:val="en-IE"/>
              </w:rPr>
              <w:t>53</w:t>
            </w:r>
          </w:p>
        </w:tc>
        <w:tc>
          <w:tcPr>
            <w:tcW w:w="1540" w:type="dxa"/>
          </w:tcPr>
          <w:p w:rsidR="00205148" w:rsidRDefault="00DB3F39" w:rsidP="001B633F">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w:t>
            </w:r>
          </w:p>
        </w:tc>
        <w:tc>
          <w:tcPr>
            <w:tcW w:w="1541" w:type="dxa"/>
          </w:tcPr>
          <w:p w:rsidR="00205148" w:rsidRDefault="00DB3F39" w:rsidP="001B633F">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57</w:t>
            </w:r>
          </w:p>
        </w:tc>
        <w:tc>
          <w:tcPr>
            <w:tcW w:w="1541" w:type="dxa"/>
          </w:tcPr>
          <w:p w:rsidR="00205148" w:rsidRDefault="00DB3F39" w:rsidP="001B633F">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1.18%</w:t>
            </w:r>
          </w:p>
        </w:tc>
      </w:tr>
    </w:tbl>
    <w:p w:rsidR="00205148" w:rsidRDefault="00205148" w:rsidP="00205148">
      <w:pPr>
        <w:autoSpaceDE w:val="0"/>
        <w:autoSpaceDN w:val="0"/>
        <w:adjustRightInd w:val="0"/>
        <w:spacing w:after="0" w:line="240" w:lineRule="auto"/>
        <w:rPr>
          <w:rFonts w:ascii="Arial" w:hAnsi="Arial" w:cs="Arial"/>
          <w:b/>
          <w:bCs/>
          <w:color w:val="000000"/>
          <w:sz w:val="24"/>
          <w:szCs w:val="24"/>
          <w:lang w:val="en-IE"/>
        </w:rPr>
      </w:pPr>
    </w:p>
    <w:p w:rsidR="00205148" w:rsidRPr="00156713" w:rsidRDefault="00977A00"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n</w:t>
      </w:r>
      <w:r w:rsidR="00CE764C" w:rsidRPr="00156713">
        <w:rPr>
          <w:rFonts w:ascii="Arial" w:hAnsi="Arial" w:cs="Arial"/>
          <w:bCs/>
          <w:color w:val="000000"/>
          <w:sz w:val="20"/>
          <w:szCs w:val="20"/>
          <w:lang w:val="en-IE"/>
        </w:rPr>
        <w:t>umber of residential units for rent or sale expressed as a percentage of the housing stock</w:t>
      </w:r>
      <w:r w:rsidRPr="00156713">
        <w:rPr>
          <w:rFonts w:ascii="Arial" w:hAnsi="Arial" w:cs="Arial"/>
          <w:bCs/>
          <w:color w:val="000000"/>
          <w:sz w:val="20"/>
          <w:szCs w:val="20"/>
          <w:lang w:val="en-IE"/>
        </w:rPr>
        <w:t xml:space="preserve"> is set out in Table 3. This shows the number of dwellings for sale or rent in Cavan Town and in the remainder of the county as a percentage of the housing stock in Cavan Town and in the County. </w:t>
      </w:r>
      <w:r w:rsidR="00CE764C" w:rsidRPr="00156713">
        <w:rPr>
          <w:rFonts w:ascii="Arial" w:hAnsi="Arial" w:cs="Arial"/>
          <w:bCs/>
          <w:color w:val="000000"/>
          <w:sz w:val="20"/>
          <w:szCs w:val="20"/>
          <w:lang w:val="en-IE"/>
        </w:rPr>
        <w:t xml:space="preserve"> </w:t>
      </w:r>
      <w:r w:rsidRPr="00156713">
        <w:rPr>
          <w:rFonts w:ascii="Arial" w:hAnsi="Arial" w:cs="Arial"/>
          <w:bCs/>
          <w:color w:val="000000"/>
          <w:sz w:val="20"/>
          <w:szCs w:val="20"/>
          <w:lang w:val="en-IE"/>
        </w:rPr>
        <w:t>This</w:t>
      </w:r>
      <w:r w:rsidR="00205148" w:rsidRPr="00156713">
        <w:rPr>
          <w:rFonts w:ascii="Arial" w:hAnsi="Arial" w:cs="Arial"/>
          <w:bCs/>
          <w:color w:val="000000"/>
          <w:sz w:val="20"/>
          <w:szCs w:val="20"/>
          <w:lang w:val="en-IE"/>
        </w:rPr>
        <w:t xml:space="preserve"> percentage of residential</w:t>
      </w:r>
      <w:r w:rsidRPr="00156713">
        <w:rPr>
          <w:rFonts w:ascii="Arial" w:hAnsi="Arial" w:cs="Arial"/>
          <w:bCs/>
          <w:color w:val="000000"/>
          <w:sz w:val="20"/>
          <w:szCs w:val="20"/>
          <w:lang w:val="en-IE"/>
        </w:rPr>
        <w:t xml:space="preserve"> units for sale or rent for both the town and the county </w:t>
      </w:r>
      <w:r w:rsidR="00205148" w:rsidRPr="00156713">
        <w:rPr>
          <w:rFonts w:ascii="Arial" w:hAnsi="Arial" w:cs="Arial"/>
          <w:bCs/>
          <w:color w:val="000000"/>
          <w:sz w:val="20"/>
          <w:szCs w:val="20"/>
          <w:lang w:val="en-IE"/>
        </w:rPr>
        <w:t xml:space="preserve">falls well below the 5% figure </w:t>
      </w:r>
      <w:r w:rsidR="00633804" w:rsidRPr="00156713">
        <w:rPr>
          <w:rFonts w:ascii="Arial" w:hAnsi="Arial" w:cs="Arial"/>
          <w:bCs/>
          <w:color w:val="000000"/>
          <w:sz w:val="20"/>
          <w:szCs w:val="20"/>
          <w:lang w:val="en-IE"/>
        </w:rPr>
        <w:t xml:space="preserve">as per Section 6(4) of the Urban Regeneration and Housing Act 2015. </w:t>
      </w:r>
    </w:p>
    <w:p w:rsidR="00205148" w:rsidRPr="00156713" w:rsidRDefault="00205148"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2.8 </w:t>
      </w:r>
      <w:r w:rsidR="00205148" w:rsidRPr="00156713">
        <w:rPr>
          <w:rFonts w:ascii="Arial" w:hAnsi="Arial" w:cs="Arial"/>
          <w:b/>
          <w:bCs/>
          <w:color w:val="000000"/>
          <w:sz w:val="20"/>
          <w:szCs w:val="20"/>
          <w:lang w:val="en-IE"/>
        </w:rPr>
        <w:t xml:space="preserve">Conclusion </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It is clear from the above</w:t>
      </w:r>
      <w:r w:rsidR="00977A00" w:rsidRPr="00156713">
        <w:rPr>
          <w:rFonts w:ascii="Arial" w:hAnsi="Arial" w:cs="Arial"/>
          <w:bCs/>
          <w:color w:val="000000"/>
          <w:sz w:val="20"/>
          <w:szCs w:val="20"/>
          <w:lang w:val="en-IE"/>
        </w:rPr>
        <w:t xml:space="preserve"> analysis detailing expected growth in the county and the number of houses needed to cater for this growth, increasing rent and sale price and the lack of number of houses for sale or rent in the county</w:t>
      </w:r>
      <w:r w:rsidRPr="00156713">
        <w:rPr>
          <w:rFonts w:ascii="Arial" w:hAnsi="Arial" w:cs="Arial"/>
          <w:bCs/>
          <w:color w:val="000000"/>
          <w:sz w:val="20"/>
          <w:szCs w:val="20"/>
          <w:lang w:val="en-IE"/>
        </w:rPr>
        <w:t xml:space="preserve"> that there is a housing need in </w:t>
      </w:r>
      <w:r w:rsidR="00977A00" w:rsidRPr="00156713">
        <w:rPr>
          <w:rFonts w:ascii="Arial" w:hAnsi="Arial" w:cs="Arial"/>
          <w:bCs/>
          <w:color w:val="000000"/>
          <w:sz w:val="20"/>
          <w:szCs w:val="20"/>
          <w:lang w:val="en-IE"/>
        </w:rPr>
        <w:t>County Cavan</w:t>
      </w:r>
      <w:r w:rsidR="00FF5088">
        <w:rPr>
          <w:rFonts w:ascii="Arial" w:hAnsi="Arial" w:cs="Arial"/>
          <w:bCs/>
          <w:color w:val="000000"/>
          <w:sz w:val="20"/>
          <w:szCs w:val="20"/>
          <w:lang w:val="en-IE"/>
        </w:rPr>
        <w:t xml:space="preserve"> however the inactivity in commencement of dwellings since the adoption of the development plan would raise concerns that there is a viability issue in relation to house construction.</w:t>
      </w:r>
    </w:p>
    <w:p w:rsidR="00205148" w:rsidRPr="00156713" w:rsidRDefault="00205148"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2.9 Application of the new objective on existing land use zonings for </w:t>
      </w:r>
      <w:r w:rsidR="00205148" w:rsidRPr="00156713">
        <w:rPr>
          <w:rFonts w:ascii="Arial" w:hAnsi="Arial" w:cs="Arial"/>
          <w:b/>
          <w:bCs/>
          <w:color w:val="000000"/>
          <w:sz w:val="20"/>
          <w:szCs w:val="20"/>
          <w:lang w:val="en-IE"/>
        </w:rPr>
        <w:t>‘Regeneration Lands’</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Section 3 of the 2015 Act defines ‘regeneration land’ as </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‘....land identified by a planning authority in its development plan or local area plan......with the objective of development and renewal of areas in need of regeneration, and includes any structures on such land.’</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p>
    <w:p w:rsidR="00977A00"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At present the Cavan County Development Plan has no specific ‘regeneration’ land use zoning or ‘regeneration’ objective. It is proposed to include a new regeneration objective as part of the Core Strategy in Chapter 2 of the</w:t>
      </w:r>
      <w:r w:rsidR="00977A00" w:rsidRPr="00156713">
        <w:rPr>
          <w:rFonts w:ascii="Arial" w:hAnsi="Arial" w:cs="Arial"/>
          <w:bCs/>
          <w:color w:val="000000"/>
          <w:sz w:val="20"/>
          <w:szCs w:val="20"/>
          <w:lang w:val="en-IE"/>
        </w:rPr>
        <w:t xml:space="preserve"> Cavan County Development P</w:t>
      </w:r>
      <w:r w:rsidRPr="00156713">
        <w:rPr>
          <w:rFonts w:ascii="Arial" w:hAnsi="Arial" w:cs="Arial"/>
          <w:bCs/>
          <w:color w:val="000000"/>
          <w:sz w:val="20"/>
          <w:szCs w:val="20"/>
          <w:lang w:val="en-IE"/>
        </w:rPr>
        <w:t>lan</w:t>
      </w:r>
      <w:r w:rsidR="00977A00" w:rsidRPr="00156713">
        <w:rPr>
          <w:rFonts w:ascii="Arial" w:hAnsi="Arial" w:cs="Arial"/>
          <w:bCs/>
          <w:color w:val="000000"/>
          <w:sz w:val="20"/>
          <w:szCs w:val="20"/>
          <w:lang w:val="en-IE"/>
        </w:rPr>
        <w:t xml:space="preserve"> 2014-2020</w:t>
      </w:r>
      <w:r w:rsidRPr="00156713">
        <w:rPr>
          <w:rFonts w:ascii="Arial" w:hAnsi="Arial" w:cs="Arial"/>
          <w:bCs/>
          <w:color w:val="000000"/>
          <w:sz w:val="20"/>
          <w:szCs w:val="20"/>
          <w:lang w:val="en-IE"/>
        </w:rPr>
        <w:t>. This will also include categorisation of land use zonings as ‘regeneration’ land. This will allow vacant sits in these areas to be considered for inclusion on the register.</w:t>
      </w:r>
    </w:p>
    <w:p w:rsidR="00156713" w:rsidRPr="00156713" w:rsidRDefault="00205148"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‘Regeneration Land’ </w:t>
      </w:r>
      <w:r w:rsidRPr="00156713">
        <w:rPr>
          <w:rFonts w:ascii="Arial" w:hAnsi="Arial" w:cs="Arial"/>
          <w:bCs/>
          <w:color w:val="000000"/>
          <w:sz w:val="20"/>
          <w:szCs w:val="20"/>
          <w:lang w:val="en-IE"/>
        </w:rPr>
        <w:t>can apply to the following land use zonings</w:t>
      </w:r>
      <w:r w:rsidR="00977A00" w:rsidRPr="00156713">
        <w:rPr>
          <w:rFonts w:ascii="Arial" w:hAnsi="Arial" w:cs="Arial"/>
          <w:bCs/>
          <w:color w:val="000000"/>
          <w:sz w:val="20"/>
          <w:szCs w:val="20"/>
          <w:lang w:val="en-IE"/>
        </w:rPr>
        <w:t xml:space="preserve"> </w:t>
      </w:r>
    </w:p>
    <w:p w:rsidR="00205148" w:rsidRPr="00156713" w:rsidRDefault="00205148" w:rsidP="00D54666">
      <w:pPr>
        <w:pStyle w:val="ListParagraph"/>
        <w:numPr>
          <w:ilvl w:val="0"/>
          <w:numId w:val="11"/>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Zoning Objective</w:t>
      </w:r>
      <w:r w:rsidR="008A2D01" w:rsidRPr="00156713">
        <w:rPr>
          <w:rFonts w:ascii="Arial" w:hAnsi="Arial" w:cs="Arial"/>
          <w:bCs/>
          <w:color w:val="000000"/>
          <w:sz w:val="20"/>
          <w:szCs w:val="20"/>
          <w:lang w:val="en-IE"/>
        </w:rPr>
        <w:t xml:space="preserve"> </w:t>
      </w:r>
      <w:r w:rsidR="008A2D01" w:rsidRPr="00156713">
        <w:rPr>
          <w:rFonts w:ascii="Arial" w:hAnsi="Arial" w:cs="Arial"/>
          <w:b/>
          <w:bCs/>
          <w:color w:val="000000"/>
          <w:sz w:val="20"/>
          <w:szCs w:val="20"/>
          <w:lang w:val="en-IE"/>
        </w:rPr>
        <w:t>Town Core</w:t>
      </w:r>
    </w:p>
    <w:p w:rsidR="008A2D01" w:rsidRDefault="008A2D01" w:rsidP="00D54666">
      <w:pPr>
        <w:autoSpaceDE w:val="0"/>
        <w:autoSpaceDN w:val="0"/>
        <w:adjustRightInd w:val="0"/>
        <w:spacing w:after="0" w:line="360" w:lineRule="auto"/>
        <w:ind w:left="360"/>
        <w:jc w:val="both"/>
        <w:rPr>
          <w:rFonts w:ascii="Arial" w:hAnsi="Arial" w:cs="Arial"/>
          <w:bCs/>
          <w:color w:val="000000"/>
          <w:sz w:val="20"/>
          <w:szCs w:val="20"/>
          <w:lang w:val="en-IE"/>
        </w:rPr>
      </w:pPr>
      <w:r w:rsidRPr="00156713">
        <w:rPr>
          <w:rFonts w:ascii="Arial" w:hAnsi="Arial" w:cs="Arial"/>
          <w:bCs/>
          <w:color w:val="000000"/>
          <w:sz w:val="20"/>
          <w:szCs w:val="20"/>
          <w:lang w:val="en-IE"/>
        </w:rPr>
        <w:t>Establishes the extent of town core and identifies the most suitable</w:t>
      </w:r>
      <w:r w:rsidR="0096699D" w:rsidRPr="00156713">
        <w:rPr>
          <w:rFonts w:ascii="Arial" w:hAnsi="Arial" w:cs="Arial"/>
          <w:bCs/>
          <w:color w:val="000000"/>
          <w:sz w:val="20"/>
          <w:szCs w:val="20"/>
          <w:lang w:val="en-IE"/>
        </w:rPr>
        <w:t xml:space="preserve"> </w:t>
      </w:r>
      <w:r w:rsidRPr="00156713">
        <w:rPr>
          <w:rFonts w:ascii="Arial" w:hAnsi="Arial" w:cs="Arial"/>
          <w:bCs/>
          <w:color w:val="000000"/>
          <w:sz w:val="20"/>
          <w:szCs w:val="20"/>
          <w:lang w:val="en-IE"/>
        </w:rPr>
        <w:t xml:space="preserve">location for a mix of retail, commercial, </w:t>
      </w:r>
      <w:r w:rsidR="00AA468F" w:rsidRPr="00156713">
        <w:rPr>
          <w:rFonts w:ascii="Arial" w:hAnsi="Arial" w:cs="Arial"/>
          <w:bCs/>
          <w:color w:val="000000"/>
          <w:sz w:val="20"/>
          <w:szCs w:val="20"/>
          <w:lang w:val="en-IE"/>
        </w:rPr>
        <w:t>residential</w:t>
      </w:r>
      <w:r w:rsidRPr="00156713">
        <w:rPr>
          <w:rFonts w:ascii="Arial" w:hAnsi="Arial" w:cs="Arial"/>
          <w:bCs/>
          <w:color w:val="000000"/>
          <w:sz w:val="20"/>
          <w:szCs w:val="20"/>
          <w:lang w:val="en-IE"/>
        </w:rPr>
        <w:t xml:space="preserve">, cultural and social uses. </w:t>
      </w:r>
    </w:p>
    <w:p w:rsidR="00156713" w:rsidRDefault="00156713" w:rsidP="00D54666">
      <w:pPr>
        <w:autoSpaceDE w:val="0"/>
        <w:autoSpaceDN w:val="0"/>
        <w:adjustRightInd w:val="0"/>
        <w:spacing w:after="0" w:line="360" w:lineRule="auto"/>
        <w:ind w:left="360"/>
        <w:jc w:val="both"/>
        <w:rPr>
          <w:rFonts w:ascii="Arial" w:hAnsi="Arial" w:cs="Arial"/>
          <w:bCs/>
          <w:color w:val="000000"/>
          <w:sz w:val="20"/>
          <w:szCs w:val="20"/>
          <w:lang w:val="en-IE"/>
        </w:rPr>
      </w:pPr>
    </w:p>
    <w:p w:rsidR="00156713" w:rsidRPr="00156713" w:rsidRDefault="00156713" w:rsidP="00D54666">
      <w:pPr>
        <w:autoSpaceDE w:val="0"/>
        <w:autoSpaceDN w:val="0"/>
        <w:adjustRightInd w:val="0"/>
        <w:spacing w:after="0" w:line="360" w:lineRule="auto"/>
        <w:ind w:left="360"/>
        <w:jc w:val="both"/>
        <w:rPr>
          <w:rFonts w:ascii="Arial" w:hAnsi="Arial" w:cs="Arial"/>
          <w:bCs/>
          <w:color w:val="000000"/>
          <w:sz w:val="20"/>
          <w:szCs w:val="20"/>
          <w:lang w:val="en-IE"/>
        </w:rPr>
      </w:pPr>
    </w:p>
    <w:p w:rsidR="00205148" w:rsidRPr="00156713" w:rsidRDefault="00205148" w:rsidP="00D54666">
      <w:pPr>
        <w:pStyle w:val="ListParagraph"/>
        <w:numPr>
          <w:ilvl w:val="0"/>
          <w:numId w:val="11"/>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lastRenderedPageBreak/>
        <w:t xml:space="preserve">Zoning Objective </w:t>
      </w:r>
      <w:r w:rsidR="008A2D01" w:rsidRPr="00156713">
        <w:rPr>
          <w:rFonts w:ascii="Arial" w:hAnsi="Arial" w:cs="Arial"/>
          <w:b/>
          <w:bCs/>
          <w:color w:val="000000"/>
          <w:sz w:val="20"/>
          <w:szCs w:val="20"/>
          <w:lang w:val="en-IE"/>
        </w:rPr>
        <w:t xml:space="preserve">Industry </w:t>
      </w:r>
      <w:r w:rsidRPr="00156713">
        <w:rPr>
          <w:rFonts w:ascii="Arial" w:hAnsi="Arial" w:cs="Arial"/>
          <w:b/>
          <w:bCs/>
          <w:color w:val="000000"/>
          <w:sz w:val="20"/>
          <w:szCs w:val="20"/>
          <w:lang w:val="en-IE"/>
        </w:rPr>
        <w:t>Enterprise and Employment</w:t>
      </w:r>
      <w:r w:rsidRPr="00156713">
        <w:rPr>
          <w:rFonts w:ascii="Arial" w:hAnsi="Arial" w:cs="Arial"/>
          <w:bCs/>
          <w:color w:val="000000"/>
          <w:sz w:val="20"/>
          <w:szCs w:val="20"/>
          <w:lang w:val="en-IE"/>
        </w:rPr>
        <w:t xml:space="preserve"> </w:t>
      </w:r>
    </w:p>
    <w:p w:rsidR="008A2D01" w:rsidRPr="00156713" w:rsidRDefault="008A2D01" w:rsidP="00FF5088">
      <w:pPr>
        <w:autoSpaceDE w:val="0"/>
        <w:autoSpaceDN w:val="0"/>
        <w:adjustRightInd w:val="0"/>
        <w:spacing w:after="0" w:line="360" w:lineRule="auto"/>
        <w:ind w:left="360"/>
        <w:jc w:val="both"/>
        <w:rPr>
          <w:rFonts w:ascii="Arial" w:hAnsi="Arial" w:cs="Arial"/>
          <w:bCs/>
          <w:color w:val="000000"/>
          <w:sz w:val="20"/>
          <w:szCs w:val="20"/>
          <w:lang w:val="en-IE"/>
        </w:rPr>
      </w:pPr>
      <w:proofErr w:type="gramStart"/>
      <w:r w:rsidRPr="00156713">
        <w:rPr>
          <w:rFonts w:ascii="Arial" w:hAnsi="Arial" w:cs="Arial"/>
          <w:bCs/>
          <w:color w:val="000000"/>
          <w:sz w:val="20"/>
          <w:szCs w:val="20"/>
          <w:lang w:val="en-IE"/>
        </w:rPr>
        <w:t xml:space="preserve">Identifies areas developed and suitable to be developed for industrial, enterprise and employment use, including all compatible </w:t>
      </w:r>
      <w:r w:rsidR="00AA468F" w:rsidRPr="00156713">
        <w:rPr>
          <w:rFonts w:ascii="Arial" w:hAnsi="Arial" w:cs="Arial"/>
          <w:bCs/>
          <w:color w:val="000000"/>
          <w:sz w:val="20"/>
          <w:szCs w:val="20"/>
          <w:lang w:val="en-IE"/>
        </w:rPr>
        <w:t>activities</w:t>
      </w:r>
      <w:r w:rsidRPr="00156713">
        <w:rPr>
          <w:rFonts w:ascii="Arial" w:hAnsi="Arial" w:cs="Arial"/>
          <w:bCs/>
          <w:color w:val="000000"/>
          <w:sz w:val="20"/>
          <w:szCs w:val="20"/>
          <w:lang w:val="en-IE"/>
        </w:rPr>
        <w:t xml:space="preserve"> and operations.</w:t>
      </w:r>
      <w:proofErr w:type="gramEnd"/>
    </w:p>
    <w:p w:rsidR="00530460" w:rsidRPr="00156713" w:rsidRDefault="00530460" w:rsidP="00D54666">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Pr="00156713">
        <w:rPr>
          <w:rFonts w:ascii="Arial" w:hAnsi="Arial" w:cs="Arial"/>
          <w:b/>
          <w:bCs/>
          <w:color w:val="000000"/>
          <w:sz w:val="20"/>
          <w:szCs w:val="20"/>
          <w:lang w:val="en-IE"/>
        </w:rPr>
        <w:t>Existing Retail</w:t>
      </w:r>
    </w:p>
    <w:p w:rsidR="00530460" w:rsidRPr="00156713" w:rsidRDefault="00530460" w:rsidP="00D54666">
      <w:pPr>
        <w:autoSpaceDE w:val="0"/>
        <w:autoSpaceDN w:val="0"/>
        <w:adjustRightInd w:val="0"/>
        <w:spacing w:after="0" w:line="360" w:lineRule="auto"/>
        <w:ind w:firstLine="360"/>
        <w:jc w:val="both"/>
        <w:rPr>
          <w:rFonts w:ascii="Arial" w:hAnsi="Arial" w:cs="Arial"/>
          <w:bCs/>
          <w:color w:val="000000"/>
          <w:sz w:val="20"/>
          <w:szCs w:val="20"/>
          <w:lang w:val="en-IE"/>
        </w:rPr>
      </w:pPr>
      <w:r w:rsidRPr="00156713">
        <w:rPr>
          <w:rFonts w:ascii="Arial" w:hAnsi="Arial" w:cs="Arial"/>
          <w:bCs/>
          <w:color w:val="000000"/>
          <w:sz w:val="20"/>
          <w:szCs w:val="20"/>
          <w:lang w:val="en-IE"/>
        </w:rPr>
        <w:t>Identifies areas outside of town cores that have been developed as retail use</w:t>
      </w:r>
    </w:p>
    <w:p w:rsidR="00530460" w:rsidRPr="00156713" w:rsidRDefault="00530460" w:rsidP="00D54666">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Pr="00156713">
        <w:rPr>
          <w:rFonts w:ascii="Arial" w:hAnsi="Arial" w:cs="Arial"/>
          <w:b/>
          <w:bCs/>
          <w:color w:val="000000"/>
          <w:sz w:val="20"/>
          <w:szCs w:val="20"/>
          <w:lang w:val="en-IE"/>
        </w:rPr>
        <w:t>Commercial</w:t>
      </w:r>
    </w:p>
    <w:p w:rsidR="008A2D01" w:rsidRPr="00156713" w:rsidRDefault="00530460" w:rsidP="00D54666">
      <w:pPr>
        <w:autoSpaceDE w:val="0"/>
        <w:autoSpaceDN w:val="0"/>
        <w:adjustRightInd w:val="0"/>
        <w:spacing w:after="0" w:line="360" w:lineRule="auto"/>
        <w:ind w:left="360"/>
        <w:jc w:val="both"/>
        <w:rPr>
          <w:rFonts w:ascii="Arial" w:hAnsi="Arial" w:cs="Arial"/>
          <w:bCs/>
          <w:color w:val="000000"/>
          <w:sz w:val="20"/>
          <w:szCs w:val="20"/>
          <w:lang w:val="en-IE"/>
        </w:rPr>
      </w:pPr>
      <w:proofErr w:type="gramStart"/>
      <w:r w:rsidRPr="00156713">
        <w:rPr>
          <w:rFonts w:ascii="Arial" w:hAnsi="Arial" w:cs="Arial"/>
          <w:bCs/>
          <w:color w:val="000000"/>
          <w:sz w:val="20"/>
          <w:szCs w:val="20"/>
          <w:lang w:val="en-IE"/>
        </w:rPr>
        <w:t>Identifies areas developed and suitable for commercial development such as hotel, community, car parking, tourism and recreation.</w:t>
      </w:r>
      <w:proofErr w:type="gramEnd"/>
      <w:r w:rsidRPr="00156713">
        <w:rPr>
          <w:rFonts w:ascii="Arial" w:hAnsi="Arial" w:cs="Arial"/>
          <w:bCs/>
          <w:color w:val="000000"/>
          <w:sz w:val="20"/>
          <w:szCs w:val="20"/>
          <w:lang w:val="en-IE"/>
        </w:rPr>
        <w:t xml:space="preserve"> </w:t>
      </w:r>
    </w:p>
    <w:p w:rsidR="00530460" w:rsidRPr="00156713" w:rsidRDefault="00530460" w:rsidP="00D54666">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Zoning Objective </w:t>
      </w:r>
      <w:r w:rsidRPr="00156713">
        <w:rPr>
          <w:rFonts w:ascii="Arial" w:hAnsi="Arial" w:cs="Arial"/>
          <w:b/>
          <w:bCs/>
          <w:color w:val="000000"/>
          <w:sz w:val="20"/>
          <w:szCs w:val="20"/>
          <w:lang w:val="en-IE"/>
        </w:rPr>
        <w:t>Residential, Mixed Use and other Uses</w:t>
      </w:r>
    </w:p>
    <w:p w:rsidR="00530460" w:rsidRPr="00156713" w:rsidRDefault="00530460" w:rsidP="00D54666">
      <w:pPr>
        <w:autoSpaceDE w:val="0"/>
        <w:autoSpaceDN w:val="0"/>
        <w:adjustRightInd w:val="0"/>
        <w:spacing w:after="0" w:line="360" w:lineRule="auto"/>
        <w:ind w:left="360"/>
        <w:jc w:val="both"/>
        <w:rPr>
          <w:rFonts w:ascii="Arial" w:hAnsi="Arial" w:cs="Arial"/>
          <w:bCs/>
          <w:color w:val="000000"/>
          <w:sz w:val="20"/>
          <w:szCs w:val="20"/>
          <w:lang w:val="en-IE"/>
        </w:rPr>
      </w:pPr>
      <w:proofErr w:type="gramStart"/>
      <w:r w:rsidRPr="00156713">
        <w:rPr>
          <w:rFonts w:ascii="Arial" w:hAnsi="Arial" w:cs="Arial"/>
          <w:bCs/>
          <w:color w:val="000000"/>
          <w:sz w:val="20"/>
          <w:szCs w:val="20"/>
          <w:lang w:val="en-IE"/>
        </w:rPr>
        <w:t>Provides for a mix of residential development and other uses which would allow for both an expansion of the residential, employment and economic development of the town without detracting from the town core.</w:t>
      </w:r>
      <w:proofErr w:type="gramEnd"/>
    </w:p>
    <w:p w:rsidR="008C2D9E" w:rsidRDefault="008C2D9E" w:rsidP="00D54666">
      <w:pPr>
        <w:autoSpaceDE w:val="0"/>
        <w:autoSpaceDN w:val="0"/>
        <w:adjustRightInd w:val="0"/>
        <w:spacing w:after="0" w:line="360" w:lineRule="auto"/>
        <w:jc w:val="both"/>
        <w:rPr>
          <w:rFonts w:ascii="Arial" w:hAnsi="Arial" w:cs="Arial"/>
          <w:b/>
          <w:bCs/>
          <w:color w:val="000000"/>
          <w:sz w:val="20"/>
          <w:szCs w:val="20"/>
          <w:lang w:val="en-IE"/>
        </w:rPr>
      </w:pPr>
    </w:p>
    <w:p w:rsidR="00156713" w:rsidRPr="00156713" w:rsidRDefault="00156713" w:rsidP="00156713">
      <w:pPr>
        <w:autoSpaceDE w:val="0"/>
        <w:autoSpaceDN w:val="0"/>
        <w:adjustRightInd w:val="0"/>
        <w:spacing w:after="0" w:line="360" w:lineRule="auto"/>
        <w:jc w:val="both"/>
        <w:rPr>
          <w:rFonts w:ascii="Arial" w:hAnsi="Arial" w:cs="Arial"/>
          <w:bCs/>
          <w:color w:val="000000"/>
          <w:sz w:val="20"/>
          <w:szCs w:val="20"/>
          <w:lang w:val="en-IE"/>
        </w:rPr>
      </w:pPr>
      <w:r>
        <w:rPr>
          <w:rFonts w:ascii="Arial" w:hAnsi="Arial" w:cs="Arial"/>
          <w:bCs/>
          <w:color w:val="000000"/>
          <w:sz w:val="20"/>
          <w:szCs w:val="20"/>
          <w:lang w:val="en-IE"/>
        </w:rPr>
        <w:t>These zoning objectives apply to</w:t>
      </w:r>
      <w:r w:rsidRPr="00156713">
        <w:rPr>
          <w:rFonts w:ascii="Arial" w:hAnsi="Arial" w:cs="Arial"/>
          <w:bCs/>
          <w:color w:val="000000"/>
          <w:sz w:val="20"/>
          <w:szCs w:val="20"/>
          <w:lang w:val="en-IE"/>
        </w:rPr>
        <w:t xml:space="preserve"> the following towns -: Belturbet, Ballyconnell, Ballyjamesduff, Cootehill, Kingscourt, Virginia, Bailieboro, </w:t>
      </w:r>
      <w:proofErr w:type="gramStart"/>
      <w:r w:rsidRPr="00156713">
        <w:rPr>
          <w:rFonts w:ascii="Arial" w:hAnsi="Arial" w:cs="Arial"/>
          <w:bCs/>
          <w:color w:val="000000"/>
          <w:sz w:val="20"/>
          <w:szCs w:val="20"/>
          <w:lang w:val="en-IE"/>
        </w:rPr>
        <w:t>Mullagh</w:t>
      </w:r>
      <w:proofErr w:type="gramEnd"/>
      <w:r w:rsidRPr="00156713">
        <w:rPr>
          <w:rFonts w:ascii="Arial" w:hAnsi="Arial" w:cs="Arial"/>
          <w:bCs/>
          <w:color w:val="000000"/>
          <w:sz w:val="20"/>
          <w:szCs w:val="20"/>
          <w:lang w:val="en-IE"/>
        </w:rPr>
        <w:t>.</w:t>
      </w:r>
    </w:p>
    <w:p w:rsidR="00156713" w:rsidRPr="00156713" w:rsidRDefault="00156713"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205148"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3.0 </w:t>
      </w:r>
      <w:r w:rsidR="00205148" w:rsidRPr="00156713">
        <w:rPr>
          <w:rFonts w:ascii="Arial" w:hAnsi="Arial" w:cs="Arial"/>
          <w:b/>
          <w:bCs/>
          <w:color w:val="000000"/>
          <w:sz w:val="20"/>
          <w:szCs w:val="20"/>
          <w:lang w:val="en-IE"/>
        </w:rPr>
        <w:t xml:space="preserve">Environmental Considerations </w:t>
      </w:r>
    </w:p>
    <w:p w:rsidR="00205148" w:rsidRPr="00156713" w:rsidRDefault="008C319C"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3.1 </w:t>
      </w:r>
      <w:r w:rsidR="00205148" w:rsidRPr="00156713">
        <w:rPr>
          <w:rFonts w:ascii="Arial" w:hAnsi="Arial" w:cs="Arial"/>
          <w:b/>
          <w:bCs/>
          <w:color w:val="000000"/>
          <w:sz w:val="20"/>
          <w:szCs w:val="20"/>
          <w:lang w:val="en-IE"/>
        </w:rPr>
        <w:t xml:space="preserve">Strategic Environmental Appraisal </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Planning Authority determined using screening criteria set out in Schedule 2A Planning and Development Regulations 2001-2018, the De</w:t>
      </w:r>
      <w:r w:rsidR="00FF5088">
        <w:rPr>
          <w:rFonts w:ascii="Arial" w:hAnsi="Arial" w:cs="Arial"/>
          <w:bCs/>
          <w:color w:val="000000"/>
          <w:sz w:val="20"/>
          <w:szCs w:val="20"/>
          <w:lang w:val="en-IE"/>
        </w:rPr>
        <w:t>partment of Housing, Planning and</w:t>
      </w:r>
      <w:r w:rsidRPr="00156713">
        <w:rPr>
          <w:rFonts w:ascii="Arial" w:hAnsi="Arial" w:cs="Arial"/>
          <w:bCs/>
          <w:color w:val="000000"/>
          <w:sz w:val="20"/>
          <w:szCs w:val="20"/>
          <w:lang w:val="en-IE"/>
        </w:rPr>
        <w:t xml:space="preserve"> Local Government SEA Guidelines ad Annex 2 of Directive 2001/42/EC, that a Strategic Environmental Assessment is not required for the proposed draft variation to the Cavan County Development Plan 2014-2020. </w:t>
      </w:r>
    </w:p>
    <w:p w:rsidR="00D54666" w:rsidRPr="00156713" w:rsidRDefault="00D54666"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3.2 </w:t>
      </w:r>
      <w:r w:rsidR="00205148" w:rsidRPr="00156713">
        <w:rPr>
          <w:rFonts w:ascii="Arial" w:hAnsi="Arial" w:cs="Arial"/>
          <w:b/>
          <w:bCs/>
          <w:color w:val="000000"/>
          <w:sz w:val="20"/>
          <w:szCs w:val="20"/>
          <w:lang w:val="en-IE"/>
        </w:rPr>
        <w:t xml:space="preserve">Appropriate Assessment Screening </w:t>
      </w:r>
    </w:p>
    <w:p w:rsidR="00205148" w:rsidRPr="00156713" w:rsidRDefault="00205148" w:rsidP="00D54666">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An Appropriate Assessment Screening was undertaken of the proposed draft variation to the Cavan County Development Plan 2014-2020, in accordance with Article 6(3) of the EU Habitats Directive (92/43/EEC). The drat variation is not predicted to have a likely impact on the key features or the qualifying interests of any Natura 2000 sites in or adjoining Cavan County area. </w:t>
      </w:r>
    </w:p>
    <w:p w:rsidR="00156713" w:rsidRDefault="00156713"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D54666">
      <w:pPr>
        <w:autoSpaceDE w:val="0"/>
        <w:autoSpaceDN w:val="0"/>
        <w:adjustRightInd w:val="0"/>
        <w:spacing w:after="0" w:line="360" w:lineRule="auto"/>
        <w:jc w:val="both"/>
        <w:rPr>
          <w:rFonts w:ascii="Arial" w:hAnsi="Arial" w:cs="Arial"/>
          <w:b/>
          <w:bCs/>
          <w:color w:val="000000"/>
          <w:sz w:val="20"/>
          <w:szCs w:val="20"/>
          <w:lang w:val="en-IE"/>
        </w:rPr>
      </w:pPr>
    </w:p>
    <w:p w:rsidR="00FF5088" w:rsidRDefault="00FF5088" w:rsidP="00A635F5">
      <w:pPr>
        <w:autoSpaceDE w:val="0"/>
        <w:autoSpaceDN w:val="0"/>
        <w:adjustRightInd w:val="0"/>
        <w:spacing w:after="0" w:line="360" w:lineRule="auto"/>
        <w:jc w:val="both"/>
        <w:rPr>
          <w:rFonts w:ascii="Arial" w:hAnsi="Arial" w:cs="Arial"/>
          <w:b/>
          <w:bCs/>
          <w:color w:val="000000"/>
          <w:sz w:val="20"/>
          <w:szCs w:val="20"/>
          <w:lang w:val="en-IE"/>
        </w:rPr>
      </w:pPr>
    </w:p>
    <w:p w:rsidR="00977A00" w:rsidRPr="00156713" w:rsidRDefault="008C319C" w:rsidP="00A635F5">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lastRenderedPageBreak/>
        <w:t xml:space="preserve">4.0 </w:t>
      </w:r>
      <w:r w:rsidR="00977A00" w:rsidRPr="00156713">
        <w:rPr>
          <w:rFonts w:ascii="Arial" w:hAnsi="Arial" w:cs="Arial"/>
          <w:b/>
          <w:bCs/>
          <w:color w:val="000000"/>
          <w:sz w:val="20"/>
          <w:szCs w:val="20"/>
          <w:lang w:val="en-IE"/>
        </w:rPr>
        <w:t xml:space="preserve">Format of Proposed Variation </w:t>
      </w:r>
    </w:p>
    <w:p w:rsidR="00977A00" w:rsidRPr="00156713" w:rsidRDefault="00977A00" w:rsidP="00A635F5">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existing text of the Cavan County Development Plan 2014-2020 is shown in normal text.</w:t>
      </w:r>
    </w:p>
    <w:p w:rsidR="00AF79E5" w:rsidRPr="00156713" w:rsidRDefault="00977A00" w:rsidP="00A635F5">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Deletions are shown as a strikethrough text e.g. </w:t>
      </w:r>
      <w:r w:rsidRPr="00156713">
        <w:rPr>
          <w:rFonts w:ascii="Arial" w:hAnsi="Arial" w:cs="Arial"/>
          <w:bCs/>
          <w:strike/>
          <w:color w:val="000000"/>
          <w:sz w:val="20"/>
          <w:szCs w:val="20"/>
          <w:lang w:val="en-IE"/>
        </w:rPr>
        <w:t>deleted text is shown like this.</w:t>
      </w:r>
    </w:p>
    <w:p w:rsidR="00977A00" w:rsidRPr="00156713" w:rsidRDefault="00977A00" w:rsidP="00A635F5">
      <w:pPr>
        <w:pStyle w:val="ListParagraph"/>
        <w:numPr>
          <w:ilvl w:val="0"/>
          <w:numId w:val="10"/>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Amendments/Additions are shown in red text e.g. </w:t>
      </w:r>
      <w:r w:rsidRPr="00156713">
        <w:rPr>
          <w:rFonts w:ascii="Arial" w:hAnsi="Arial" w:cs="Arial"/>
          <w:bCs/>
          <w:color w:val="FF0000"/>
          <w:sz w:val="20"/>
          <w:szCs w:val="20"/>
          <w:lang w:val="en-IE"/>
        </w:rPr>
        <w:t xml:space="preserve">new text in shown in red </w:t>
      </w:r>
    </w:p>
    <w:p w:rsidR="00977A00" w:rsidRPr="00156713" w:rsidRDefault="00977A00" w:rsidP="00A635F5">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8C319C" w:rsidP="00A635F5">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4.1 </w:t>
      </w:r>
      <w:r w:rsidR="00205148" w:rsidRPr="00156713">
        <w:rPr>
          <w:rFonts w:ascii="Arial" w:hAnsi="Arial" w:cs="Arial"/>
          <w:b/>
          <w:bCs/>
          <w:color w:val="000000"/>
          <w:sz w:val="20"/>
          <w:szCs w:val="20"/>
          <w:lang w:val="en-IE"/>
        </w:rPr>
        <w:t xml:space="preserve">Text of Proposed Variation </w:t>
      </w:r>
    </w:p>
    <w:p w:rsidR="00205148" w:rsidRPr="00156713" w:rsidRDefault="00205148" w:rsidP="00A635F5">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proposed variation consists of the following material amendments to the Cavan County Development Plan 2014-2020</w:t>
      </w:r>
      <w:r w:rsidR="007D6F34" w:rsidRPr="00156713">
        <w:rPr>
          <w:rFonts w:ascii="Arial" w:hAnsi="Arial" w:cs="Arial"/>
          <w:bCs/>
          <w:color w:val="000000"/>
          <w:sz w:val="20"/>
          <w:szCs w:val="20"/>
          <w:lang w:val="en-IE"/>
        </w:rPr>
        <w:t>.</w:t>
      </w:r>
    </w:p>
    <w:p w:rsidR="00205148" w:rsidRPr="00156713" w:rsidRDefault="00205148" w:rsidP="00A635F5">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D44062" w:rsidP="00A635F5">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 xml:space="preserve">Chapter 1 </w:t>
      </w:r>
      <w:r w:rsidR="008C2D9E" w:rsidRPr="00156713">
        <w:rPr>
          <w:rFonts w:ascii="Arial" w:hAnsi="Arial" w:cs="Arial"/>
          <w:b/>
          <w:bCs/>
          <w:color w:val="000000"/>
          <w:sz w:val="20"/>
          <w:szCs w:val="20"/>
          <w:lang w:val="en-IE"/>
        </w:rPr>
        <w:t>Section 1.2</w:t>
      </w:r>
      <w:r w:rsidR="00205148" w:rsidRPr="00156713">
        <w:rPr>
          <w:rFonts w:ascii="Arial" w:hAnsi="Arial" w:cs="Arial"/>
          <w:b/>
          <w:bCs/>
          <w:color w:val="000000"/>
          <w:sz w:val="20"/>
          <w:szCs w:val="20"/>
          <w:lang w:val="en-IE"/>
        </w:rPr>
        <w:t xml:space="preserve">.Content of the Development Plan </w:t>
      </w:r>
    </w:p>
    <w:p w:rsidR="00205148" w:rsidRPr="00156713" w:rsidRDefault="00205148" w:rsidP="00A635F5">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The renewal and development of areas in need of regeneration </w:t>
      </w:r>
      <w:r w:rsidRPr="00156713">
        <w:rPr>
          <w:rFonts w:ascii="Arial" w:hAnsi="Arial" w:cs="Arial"/>
          <w:bCs/>
          <w:color w:val="FF0000"/>
          <w:sz w:val="20"/>
          <w:szCs w:val="20"/>
          <w:lang w:val="en-IE"/>
        </w:rPr>
        <w:t xml:space="preserve">identified having regard to the core strategy, that are in need of regeneration, in order to prevent – </w:t>
      </w:r>
    </w:p>
    <w:p w:rsidR="00205148" w:rsidRPr="00156713" w:rsidRDefault="00205148" w:rsidP="00A635F5">
      <w:pPr>
        <w:pStyle w:val="ListParagraph"/>
        <w:numPr>
          <w:ilvl w:val="0"/>
          <w:numId w:val="13"/>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Adverse effects on existing amenities in such areas, in particular as a result of the ruinous or neglected condition of any land,</w:t>
      </w:r>
    </w:p>
    <w:p w:rsidR="00205148" w:rsidRPr="00156713" w:rsidRDefault="00205148" w:rsidP="00A635F5">
      <w:pPr>
        <w:pStyle w:val="ListParagraph"/>
        <w:numPr>
          <w:ilvl w:val="0"/>
          <w:numId w:val="13"/>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 xml:space="preserve">Urban blight or decay </w:t>
      </w:r>
    </w:p>
    <w:p w:rsidR="00205148" w:rsidRPr="00156713" w:rsidRDefault="00205148" w:rsidP="00A635F5">
      <w:pPr>
        <w:pStyle w:val="ListParagraph"/>
        <w:numPr>
          <w:ilvl w:val="0"/>
          <w:numId w:val="13"/>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 xml:space="preserve">Anti-social behaviour, or </w:t>
      </w:r>
    </w:p>
    <w:p w:rsidR="00205148" w:rsidRPr="00156713" w:rsidRDefault="00205148" w:rsidP="00A635F5">
      <w:pPr>
        <w:pStyle w:val="ListParagraph"/>
        <w:numPr>
          <w:ilvl w:val="0"/>
          <w:numId w:val="13"/>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A shortage of habitable houses or of land suitable for residential use or a mixture of residential and other uses</w:t>
      </w:r>
    </w:p>
    <w:p w:rsidR="00205148" w:rsidRPr="00156713" w:rsidRDefault="00205148" w:rsidP="00A635F5">
      <w:pPr>
        <w:autoSpaceDE w:val="0"/>
        <w:autoSpaceDN w:val="0"/>
        <w:adjustRightInd w:val="0"/>
        <w:spacing w:after="0" w:line="360" w:lineRule="auto"/>
        <w:jc w:val="both"/>
        <w:rPr>
          <w:rFonts w:ascii="Arial" w:hAnsi="Arial" w:cs="Arial"/>
          <w:b/>
          <w:bCs/>
          <w:color w:val="000000"/>
          <w:sz w:val="20"/>
          <w:szCs w:val="20"/>
          <w:lang w:val="en-IE"/>
        </w:rPr>
      </w:pPr>
    </w:p>
    <w:p w:rsidR="00AF79E5" w:rsidRPr="00156713" w:rsidRDefault="00AF79E5" w:rsidP="00A635F5">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D44062" w:rsidP="00A635F5">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Chapter 2, Section 2.4.1, Subsection 3</w:t>
      </w:r>
    </w:p>
    <w:p w:rsidR="008C2D9E" w:rsidRPr="00156713" w:rsidRDefault="008C2D9E" w:rsidP="00A635F5">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3. A rural County with increased </w:t>
      </w:r>
      <w:r w:rsidR="00696417" w:rsidRPr="00156713">
        <w:rPr>
          <w:rFonts w:ascii="Arial" w:hAnsi="Arial" w:cs="Arial"/>
          <w:b/>
          <w:bCs/>
          <w:color w:val="000000"/>
          <w:sz w:val="20"/>
          <w:szCs w:val="20"/>
          <w:lang w:val="en-IE"/>
        </w:rPr>
        <w:t>Urbanisation</w:t>
      </w:r>
      <w:r w:rsidRPr="00156713">
        <w:rPr>
          <w:rFonts w:ascii="Arial" w:hAnsi="Arial" w:cs="Arial"/>
          <w:b/>
          <w:bCs/>
          <w:color w:val="000000"/>
          <w:sz w:val="20"/>
          <w:szCs w:val="20"/>
          <w:lang w:val="en-IE"/>
        </w:rPr>
        <w:t xml:space="preserve"> </w:t>
      </w:r>
    </w:p>
    <w:p w:rsidR="00696417" w:rsidRDefault="008C2D9E" w:rsidP="00A635F5">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Our Challenge is to recognise the rural nature of our county </w:t>
      </w:r>
      <w:r w:rsidR="00696417" w:rsidRPr="00156713">
        <w:rPr>
          <w:rFonts w:ascii="Arial" w:hAnsi="Arial" w:cs="Arial"/>
          <w:bCs/>
          <w:color w:val="000000"/>
          <w:sz w:val="20"/>
          <w:szCs w:val="20"/>
          <w:lang w:val="en-IE"/>
        </w:rPr>
        <w:t>while</w:t>
      </w:r>
      <w:r w:rsidRPr="00156713">
        <w:rPr>
          <w:rFonts w:ascii="Arial" w:hAnsi="Arial" w:cs="Arial"/>
          <w:bCs/>
          <w:color w:val="000000"/>
          <w:sz w:val="20"/>
          <w:szCs w:val="20"/>
          <w:lang w:val="en-IE"/>
        </w:rPr>
        <w:t xml:space="preserve"> supporting the continued development of out towns and villages. This can be achieved by ensuring that our towns and villages develop in a compact way with </w:t>
      </w:r>
      <w:r w:rsidR="00696417" w:rsidRPr="00156713">
        <w:rPr>
          <w:rFonts w:ascii="Arial" w:hAnsi="Arial" w:cs="Arial"/>
          <w:bCs/>
          <w:color w:val="000000"/>
          <w:sz w:val="20"/>
          <w:szCs w:val="20"/>
          <w:lang w:val="en-IE"/>
        </w:rPr>
        <w:t>residential</w:t>
      </w:r>
      <w:r w:rsidRPr="00156713">
        <w:rPr>
          <w:rFonts w:ascii="Arial" w:hAnsi="Arial" w:cs="Arial"/>
          <w:bCs/>
          <w:color w:val="000000"/>
          <w:sz w:val="20"/>
          <w:szCs w:val="20"/>
          <w:lang w:val="en-IE"/>
        </w:rPr>
        <w:t xml:space="preserve"> developments of an approp</w:t>
      </w:r>
      <w:r w:rsidR="00696417" w:rsidRPr="00156713">
        <w:rPr>
          <w:rFonts w:ascii="Arial" w:hAnsi="Arial" w:cs="Arial"/>
          <w:bCs/>
          <w:color w:val="000000"/>
          <w:sz w:val="20"/>
          <w:szCs w:val="20"/>
          <w:lang w:val="en-IE"/>
        </w:rPr>
        <w:t>riate</w:t>
      </w:r>
      <w:r w:rsidRPr="00156713">
        <w:rPr>
          <w:rFonts w:ascii="Arial" w:hAnsi="Arial" w:cs="Arial"/>
          <w:bCs/>
          <w:color w:val="000000"/>
          <w:sz w:val="20"/>
          <w:szCs w:val="20"/>
          <w:lang w:val="en-IE"/>
        </w:rPr>
        <w:t xml:space="preserve"> size developing close to town cores and a strict adherence to the principles of sustainable </w:t>
      </w:r>
      <w:r w:rsidR="00696417" w:rsidRPr="00156713">
        <w:rPr>
          <w:rFonts w:ascii="Arial" w:hAnsi="Arial" w:cs="Arial"/>
          <w:bCs/>
          <w:color w:val="000000"/>
          <w:sz w:val="20"/>
          <w:szCs w:val="20"/>
          <w:lang w:val="en-IE"/>
        </w:rPr>
        <w:t xml:space="preserve">development which will ensure the protection of our biodiversity and natural heritage. </w:t>
      </w:r>
      <w:r w:rsidR="00696417" w:rsidRPr="00156713">
        <w:rPr>
          <w:rFonts w:ascii="Arial" w:hAnsi="Arial" w:cs="Arial"/>
          <w:bCs/>
          <w:color w:val="FF0000"/>
          <w:sz w:val="20"/>
          <w:szCs w:val="20"/>
          <w:lang w:val="en-IE"/>
        </w:rPr>
        <w:t>The Council will implement the provisions of the Urban Regeneration and Housing Act 2015</w:t>
      </w:r>
      <w:r w:rsidR="00610C12">
        <w:rPr>
          <w:rFonts w:ascii="Arial" w:hAnsi="Arial" w:cs="Arial"/>
          <w:bCs/>
          <w:color w:val="FF0000"/>
          <w:sz w:val="20"/>
          <w:szCs w:val="20"/>
          <w:lang w:val="en-IE"/>
        </w:rPr>
        <w:t xml:space="preserve"> </w:t>
      </w:r>
      <w:r w:rsidR="00696417" w:rsidRPr="00156713">
        <w:rPr>
          <w:rFonts w:ascii="Arial" w:hAnsi="Arial" w:cs="Arial"/>
          <w:bCs/>
          <w:color w:val="FF0000"/>
          <w:sz w:val="20"/>
          <w:szCs w:val="20"/>
          <w:lang w:val="en-IE"/>
        </w:rPr>
        <w:t>which includes</w:t>
      </w:r>
      <w:r w:rsidR="00610C12">
        <w:rPr>
          <w:rFonts w:ascii="Arial" w:hAnsi="Arial" w:cs="Arial"/>
          <w:bCs/>
          <w:color w:val="FF0000"/>
          <w:sz w:val="20"/>
          <w:szCs w:val="20"/>
          <w:lang w:val="en-IE"/>
        </w:rPr>
        <w:t xml:space="preserve"> where appropriate</w:t>
      </w:r>
      <w:r w:rsidR="00696417" w:rsidRPr="00156713">
        <w:rPr>
          <w:rFonts w:ascii="Arial" w:hAnsi="Arial" w:cs="Arial"/>
          <w:bCs/>
          <w:color w:val="FF0000"/>
          <w:sz w:val="20"/>
          <w:szCs w:val="20"/>
          <w:lang w:val="en-IE"/>
        </w:rPr>
        <w:t xml:space="preserve"> the Vacant Site Levy in facilitating and </w:t>
      </w:r>
      <w:r w:rsidR="00696417" w:rsidRPr="0099228D">
        <w:rPr>
          <w:rFonts w:ascii="Arial" w:hAnsi="Arial" w:cs="Arial"/>
          <w:bCs/>
          <w:color w:val="FF0000"/>
          <w:sz w:val="20"/>
          <w:szCs w:val="20"/>
          <w:lang w:val="en-IE"/>
        </w:rPr>
        <w:t xml:space="preserve">encouraging the development and renewal </w:t>
      </w:r>
      <w:r w:rsidR="0099228D" w:rsidRPr="0099228D">
        <w:rPr>
          <w:rFonts w:ascii="Arial" w:hAnsi="Arial" w:cs="Arial"/>
          <w:bCs/>
          <w:color w:val="FF0000"/>
          <w:sz w:val="20"/>
          <w:szCs w:val="20"/>
          <w:lang w:val="en-IE"/>
        </w:rPr>
        <w:t>designated</w:t>
      </w:r>
      <w:r w:rsidR="0099228D">
        <w:rPr>
          <w:rFonts w:ascii="Arial" w:hAnsi="Arial" w:cs="Arial"/>
          <w:bCs/>
          <w:color w:val="FF0000"/>
          <w:sz w:val="20"/>
          <w:szCs w:val="20"/>
          <w:lang w:val="en-IE"/>
        </w:rPr>
        <w:t xml:space="preserve"> vacant sites as provided for in the 2015 Act</w:t>
      </w:r>
      <w:r w:rsidR="0099228D" w:rsidRPr="00156713">
        <w:rPr>
          <w:rFonts w:ascii="Arial" w:hAnsi="Arial" w:cs="Arial"/>
          <w:bCs/>
          <w:color w:val="FF0000"/>
          <w:sz w:val="20"/>
          <w:szCs w:val="20"/>
          <w:lang w:val="en-IE"/>
        </w:rPr>
        <w:t>.</w:t>
      </w:r>
    </w:p>
    <w:p w:rsidR="006C54F6" w:rsidRDefault="006C54F6" w:rsidP="00A635F5">
      <w:pPr>
        <w:autoSpaceDE w:val="0"/>
        <w:autoSpaceDN w:val="0"/>
        <w:adjustRightInd w:val="0"/>
        <w:spacing w:after="0" w:line="360" w:lineRule="auto"/>
        <w:jc w:val="both"/>
        <w:rPr>
          <w:rFonts w:ascii="Arial" w:hAnsi="Arial" w:cs="Arial"/>
          <w:bCs/>
          <w:color w:val="FF0000"/>
          <w:sz w:val="20"/>
          <w:szCs w:val="20"/>
          <w:lang w:val="en-IE"/>
        </w:rPr>
      </w:pPr>
    </w:p>
    <w:p w:rsidR="006C54F6" w:rsidRPr="006C54F6" w:rsidRDefault="006C54F6" w:rsidP="00A635F5">
      <w:pPr>
        <w:autoSpaceDE w:val="0"/>
        <w:autoSpaceDN w:val="0"/>
        <w:adjustRightInd w:val="0"/>
        <w:spacing w:after="0" w:line="360" w:lineRule="auto"/>
        <w:jc w:val="both"/>
        <w:rPr>
          <w:rFonts w:ascii="Arial" w:hAnsi="Arial" w:cs="Arial"/>
          <w:bCs/>
          <w:sz w:val="20"/>
          <w:szCs w:val="20"/>
          <w:lang w:val="en-IE"/>
        </w:rPr>
      </w:pPr>
      <w:r w:rsidRPr="006C54F6">
        <w:rPr>
          <w:rFonts w:ascii="Arial" w:hAnsi="Arial" w:cs="Arial"/>
          <w:bCs/>
          <w:sz w:val="20"/>
          <w:szCs w:val="20"/>
          <w:lang w:val="en-IE"/>
        </w:rPr>
        <w:t xml:space="preserve">Section 2.5.1 </w:t>
      </w:r>
    </w:p>
    <w:p w:rsidR="006C54F6" w:rsidRPr="006C54F6" w:rsidRDefault="006C54F6" w:rsidP="006C54F6">
      <w:pPr>
        <w:spacing w:line="360" w:lineRule="auto"/>
        <w:ind w:firstLine="720"/>
        <w:rPr>
          <w:rFonts w:ascii="Arial" w:hAnsi="Arial" w:cs="Arial"/>
          <w:b/>
          <w:sz w:val="20"/>
          <w:szCs w:val="20"/>
        </w:rPr>
      </w:pPr>
      <w:r w:rsidRPr="006C54F6">
        <w:rPr>
          <w:rFonts w:ascii="Arial" w:hAnsi="Arial" w:cs="Arial"/>
          <w:b/>
          <w:sz w:val="20"/>
          <w:szCs w:val="20"/>
        </w:rPr>
        <w:t>Tier One</w:t>
      </w:r>
    </w:p>
    <w:p w:rsidR="006C54F6" w:rsidRDefault="006C54F6" w:rsidP="006C54F6">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Cavan Town &amp; Environs is our Tier one town. It is our County Town and has been classified as a hub town in the NSS and BRPG. The town is of strategic importance within the Border Region and has excellent transport linkages nationally, regionally and locally. This town became a Large Town within the context of census towns, in the 2011 census with a population in excess of 10,000. The Cavan Town &amp; Environs Development Plan provides greater details and specific policies and objectives with regards to this town.</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One, Cavan Town,</w:t>
      </w:r>
      <w:r w:rsidRPr="00156713">
        <w:rPr>
          <w:rFonts w:ascii="Arial" w:hAnsi="Arial" w:cs="Arial"/>
          <w:bCs/>
          <w:color w:val="FF0000"/>
          <w:sz w:val="20"/>
          <w:szCs w:val="20"/>
          <w:lang w:val="en-IE"/>
        </w:rPr>
        <w:t xml:space="preserve"> the provisions of the Urban Regeneration and Housing Act 2015</w:t>
      </w:r>
      <w:r w:rsidR="00610C12" w:rsidRPr="00610C12">
        <w:rPr>
          <w:rFonts w:ascii="Arial" w:hAnsi="Arial" w:cs="Arial"/>
          <w:bCs/>
          <w:color w:val="FF0000"/>
          <w:sz w:val="20"/>
          <w:szCs w:val="20"/>
          <w:lang w:val="en-IE"/>
        </w:rPr>
        <w:t xml:space="preserve"> </w:t>
      </w:r>
      <w:r w:rsidR="00610C12" w:rsidRPr="00156713">
        <w:rPr>
          <w:rFonts w:ascii="Arial" w:hAnsi="Arial" w:cs="Arial"/>
          <w:bCs/>
          <w:color w:val="FF0000"/>
          <w:sz w:val="20"/>
          <w:szCs w:val="20"/>
          <w:lang w:val="en-IE"/>
        </w:rPr>
        <w:t>which includes</w:t>
      </w:r>
      <w:r w:rsidR="00610C12">
        <w:rPr>
          <w:rFonts w:ascii="Arial" w:hAnsi="Arial" w:cs="Arial"/>
          <w:bCs/>
          <w:color w:val="FF0000"/>
          <w:sz w:val="20"/>
          <w:szCs w:val="20"/>
          <w:lang w:val="en-IE"/>
        </w:rPr>
        <w:t xml:space="preserve"> where appropriate</w:t>
      </w:r>
      <w:r w:rsidR="00610C12" w:rsidRPr="00156713">
        <w:rPr>
          <w:rFonts w:ascii="Arial" w:hAnsi="Arial" w:cs="Arial"/>
          <w:bCs/>
          <w:color w:val="FF0000"/>
          <w:sz w:val="20"/>
          <w:szCs w:val="20"/>
          <w:lang w:val="en-IE"/>
        </w:rPr>
        <w:t xml:space="preserve"> </w:t>
      </w:r>
      <w:r w:rsidRPr="00156713">
        <w:rPr>
          <w:rFonts w:ascii="Arial" w:hAnsi="Arial" w:cs="Arial"/>
          <w:bCs/>
          <w:color w:val="FF0000"/>
          <w:sz w:val="20"/>
          <w:szCs w:val="20"/>
          <w:lang w:val="en-IE"/>
        </w:rPr>
        <w:t xml:space="preserve">the Vacant Site Levy in </w:t>
      </w:r>
      <w:r w:rsidRPr="00156713">
        <w:rPr>
          <w:rFonts w:ascii="Arial" w:hAnsi="Arial" w:cs="Arial"/>
          <w:bCs/>
          <w:color w:val="FF0000"/>
          <w:sz w:val="20"/>
          <w:szCs w:val="20"/>
          <w:lang w:val="en-IE"/>
        </w:rPr>
        <w:lastRenderedPageBreak/>
        <w:t xml:space="preserve">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6C54F6" w:rsidRPr="006C54F6" w:rsidRDefault="006C54F6" w:rsidP="006C54F6">
      <w:pPr>
        <w:spacing w:line="360" w:lineRule="auto"/>
        <w:rPr>
          <w:rFonts w:ascii="Arial" w:hAnsi="Arial" w:cs="Arial"/>
          <w:sz w:val="20"/>
          <w:szCs w:val="20"/>
          <w:lang w:val="en-IE"/>
        </w:rPr>
      </w:pPr>
    </w:p>
    <w:p w:rsidR="006C54F6" w:rsidRPr="006C54F6" w:rsidRDefault="006C54F6" w:rsidP="006C54F6">
      <w:pPr>
        <w:spacing w:line="360" w:lineRule="auto"/>
        <w:ind w:firstLine="720"/>
        <w:rPr>
          <w:rFonts w:ascii="Arial" w:hAnsi="Arial" w:cs="Arial"/>
          <w:b/>
          <w:sz w:val="20"/>
          <w:szCs w:val="20"/>
        </w:rPr>
      </w:pPr>
    </w:p>
    <w:p w:rsidR="006C54F6" w:rsidRPr="006C54F6" w:rsidRDefault="006C54F6" w:rsidP="006C54F6">
      <w:pPr>
        <w:spacing w:line="360" w:lineRule="auto"/>
        <w:ind w:firstLine="720"/>
        <w:rPr>
          <w:rFonts w:ascii="Arial" w:hAnsi="Arial" w:cs="Arial"/>
          <w:b/>
          <w:sz w:val="20"/>
          <w:szCs w:val="20"/>
        </w:rPr>
      </w:pPr>
      <w:r w:rsidRPr="006C54F6">
        <w:rPr>
          <w:rFonts w:ascii="Arial" w:hAnsi="Arial" w:cs="Arial"/>
          <w:b/>
          <w:sz w:val="20"/>
          <w:szCs w:val="20"/>
        </w:rPr>
        <w:t xml:space="preserve">Tier Two </w:t>
      </w:r>
    </w:p>
    <w:p w:rsidR="006C54F6" w:rsidRDefault="006C54F6" w:rsidP="006C54F6">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Tier Two towns are the larger towns in the County, they are located in the east of the County mainly towards the border with Meath. While much smaller than the county town these towns are important as centres of population and employment and act as drivers of growth within the County. They support the continued development of the county town with which they have good linkages. These towns have populations of over 2,000 and a good mix of retail, social, professional, educational and commercial services. They are also providers of employment. Ballyjamesduff is the largest of these towns but has the lowest number and mix of retail and other services. Each of the towns will be considered in detail in the individual town plans which are accompanied by zoning maps which include land zoned for future residential use. These lands include a number of unfinished estates which require considerable work and therefore can not be considered to be developed lands. The quantum of residential land is zoned on the basis of the targeted population growth in the following section. Each of the larger towns has been provided with the same target growth to ensure that they have sufficient land available to cater for existing and future populations. It is not anticipated that they will all develop at the same rate, several factors could affect growth for example in-migration contributed to the high growth rate in Ballyjamesduff, if this were to reverse then the population growth could slow down. The viability of all future development must be considered in the context of the existing capacity of infrastructure such as Waste Water Treatment Systems.</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Two Towns,</w:t>
      </w:r>
      <w:r w:rsidRPr="00156713">
        <w:rPr>
          <w:rFonts w:ascii="Arial" w:hAnsi="Arial" w:cs="Arial"/>
          <w:bCs/>
          <w:color w:val="FF0000"/>
          <w:sz w:val="20"/>
          <w:szCs w:val="20"/>
          <w:lang w:val="en-IE"/>
        </w:rPr>
        <w:t xml:space="preserve"> the provisions of the Urban Regeneration and Housing Act 2015</w:t>
      </w:r>
      <w:r>
        <w:rPr>
          <w:rFonts w:ascii="Arial" w:hAnsi="Arial" w:cs="Arial"/>
          <w:bCs/>
          <w:color w:val="FF0000"/>
          <w:sz w:val="20"/>
          <w:szCs w:val="20"/>
          <w:lang w:val="en-IE"/>
        </w:rPr>
        <w:t xml:space="preserve">, </w:t>
      </w:r>
      <w:r w:rsidR="00610C12" w:rsidRPr="00156713">
        <w:rPr>
          <w:rFonts w:ascii="Arial" w:hAnsi="Arial" w:cs="Arial"/>
          <w:bCs/>
          <w:color w:val="FF0000"/>
          <w:sz w:val="20"/>
          <w:szCs w:val="20"/>
          <w:lang w:val="en-IE"/>
        </w:rPr>
        <w:t>which includes</w:t>
      </w:r>
      <w:r w:rsidR="00610C12">
        <w:rPr>
          <w:rFonts w:ascii="Arial" w:hAnsi="Arial" w:cs="Arial"/>
          <w:bCs/>
          <w:color w:val="FF0000"/>
          <w:sz w:val="20"/>
          <w:szCs w:val="20"/>
          <w:lang w:val="en-IE"/>
        </w:rPr>
        <w:t xml:space="preserve"> where appropriate</w:t>
      </w:r>
      <w:r w:rsidR="00610C12" w:rsidRPr="00156713">
        <w:rPr>
          <w:rFonts w:ascii="Arial" w:hAnsi="Arial" w:cs="Arial"/>
          <w:bCs/>
          <w:color w:val="FF0000"/>
          <w:sz w:val="20"/>
          <w:szCs w:val="20"/>
          <w:lang w:val="en-IE"/>
        </w:rPr>
        <w:t xml:space="preserve"> </w:t>
      </w:r>
      <w:r w:rsidRPr="00156713">
        <w:rPr>
          <w:rFonts w:ascii="Arial" w:hAnsi="Arial" w:cs="Arial"/>
          <w:bCs/>
          <w:color w:val="FF0000"/>
          <w:sz w:val="20"/>
          <w:szCs w:val="20"/>
          <w:lang w:val="en-IE"/>
        </w:rPr>
        <w:t xml:space="preserve">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6C54F6" w:rsidRPr="006C54F6" w:rsidRDefault="006C54F6" w:rsidP="006C54F6">
      <w:pPr>
        <w:spacing w:line="360" w:lineRule="auto"/>
        <w:rPr>
          <w:rFonts w:ascii="Arial" w:hAnsi="Arial" w:cs="Arial"/>
          <w:sz w:val="20"/>
          <w:szCs w:val="20"/>
          <w:lang w:val="en-IE"/>
        </w:rPr>
      </w:pPr>
    </w:p>
    <w:p w:rsidR="006C54F6" w:rsidRPr="006C54F6" w:rsidRDefault="006C54F6" w:rsidP="006C54F6">
      <w:pPr>
        <w:spacing w:line="360" w:lineRule="auto"/>
        <w:rPr>
          <w:rFonts w:ascii="Arial" w:hAnsi="Arial" w:cs="Arial"/>
          <w:sz w:val="20"/>
          <w:szCs w:val="20"/>
        </w:rPr>
      </w:pPr>
    </w:p>
    <w:p w:rsidR="006C54F6" w:rsidRPr="006C54F6" w:rsidRDefault="006C54F6" w:rsidP="006C54F6">
      <w:pPr>
        <w:spacing w:line="360" w:lineRule="auto"/>
        <w:ind w:firstLine="720"/>
        <w:rPr>
          <w:rFonts w:ascii="Arial" w:hAnsi="Arial" w:cs="Arial"/>
          <w:b/>
          <w:sz w:val="20"/>
          <w:szCs w:val="20"/>
        </w:rPr>
      </w:pPr>
      <w:r w:rsidRPr="006C54F6">
        <w:rPr>
          <w:rFonts w:ascii="Arial" w:hAnsi="Arial" w:cs="Arial"/>
          <w:b/>
          <w:sz w:val="20"/>
          <w:szCs w:val="20"/>
        </w:rPr>
        <w:t>Tier Three</w:t>
      </w:r>
    </w:p>
    <w:p w:rsidR="006C54F6" w:rsidRDefault="006C54F6" w:rsidP="006C54F6">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 xml:space="preserve">Tier three towns have a good mix and variety of retail and some professional, educational and social providers. In the west of the county these are the larger towns and so have an important role to play as providers of essential services such as retail, education and recreational. In the east Mullagh town is classified as medium sized town but has a lower retail and service provision than the other medium towns.  The proximity of this town to the Greater Dublin Area and the high population growth suggests that this town has become somewhat of a commuter town which in turn has had an effect on the development of services. Detailed zoning maps which will include land zoned for residential purposes will be included in the town plans. The lands zoned for future residential use include a number of unfinished estates which require considerable work and therefore can not be considered to be </w:t>
      </w:r>
      <w:r w:rsidRPr="006C54F6">
        <w:rPr>
          <w:rFonts w:ascii="Arial" w:hAnsi="Arial" w:cs="Arial"/>
          <w:sz w:val="20"/>
          <w:szCs w:val="20"/>
        </w:rPr>
        <w:lastRenderedPageBreak/>
        <w:t>developed lands. The quantum of residential land is zoned on the basis of the targeted population growth in the following section. It is not anticipated that these towns will grow at an even rate but it is important that sufficient land is allocated to cater for existing and future growth. The viability of all future development must be considered in the context of the existing capacity of infrastructure such as Waste Water Treatment Systems.</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Three Towns,</w:t>
      </w:r>
      <w:r w:rsidRPr="00156713">
        <w:rPr>
          <w:rFonts w:ascii="Arial" w:hAnsi="Arial" w:cs="Arial"/>
          <w:bCs/>
          <w:color w:val="FF0000"/>
          <w:sz w:val="20"/>
          <w:szCs w:val="20"/>
          <w:lang w:val="en-IE"/>
        </w:rPr>
        <w:t xml:space="preserve"> the provisions of the Urban Regeneration and Housing Act 2015</w:t>
      </w:r>
      <w:r>
        <w:rPr>
          <w:rFonts w:ascii="Arial" w:hAnsi="Arial" w:cs="Arial"/>
          <w:bCs/>
          <w:color w:val="FF0000"/>
          <w:sz w:val="20"/>
          <w:szCs w:val="20"/>
          <w:lang w:val="en-IE"/>
        </w:rPr>
        <w:t xml:space="preserve"> </w:t>
      </w:r>
      <w:r w:rsidR="00610C12" w:rsidRPr="00156713">
        <w:rPr>
          <w:rFonts w:ascii="Arial" w:hAnsi="Arial" w:cs="Arial"/>
          <w:bCs/>
          <w:color w:val="FF0000"/>
          <w:sz w:val="20"/>
          <w:szCs w:val="20"/>
          <w:lang w:val="en-IE"/>
        </w:rPr>
        <w:t>which includes</w:t>
      </w:r>
      <w:r w:rsidR="00610C12">
        <w:rPr>
          <w:rFonts w:ascii="Arial" w:hAnsi="Arial" w:cs="Arial"/>
          <w:bCs/>
          <w:color w:val="FF0000"/>
          <w:sz w:val="20"/>
          <w:szCs w:val="20"/>
          <w:lang w:val="en-IE"/>
        </w:rPr>
        <w:t xml:space="preserve"> where appropriate</w:t>
      </w:r>
      <w:r w:rsidR="00610C12" w:rsidRPr="00156713">
        <w:rPr>
          <w:rFonts w:ascii="Arial" w:hAnsi="Arial" w:cs="Arial"/>
          <w:bCs/>
          <w:color w:val="FF0000"/>
          <w:sz w:val="20"/>
          <w:szCs w:val="20"/>
          <w:lang w:val="en-IE"/>
        </w:rPr>
        <w:t xml:space="preserve"> </w:t>
      </w:r>
      <w:r w:rsidRPr="00156713">
        <w:rPr>
          <w:rFonts w:ascii="Arial" w:hAnsi="Arial" w:cs="Arial"/>
          <w:bCs/>
          <w:color w:val="FF0000"/>
          <w:sz w:val="20"/>
          <w:szCs w:val="20"/>
          <w:lang w:val="en-IE"/>
        </w:rPr>
        <w:t xml:space="preserve">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6C54F6" w:rsidRPr="006C54F6" w:rsidRDefault="006C54F6" w:rsidP="00A635F5">
      <w:pPr>
        <w:autoSpaceDE w:val="0"/>
        <w:autoSpaceDN w:val="0"/>
        <w:adjustRightInd w:val="0"/>
        <w:spacing w:after="0" w:line="360" w:lineRule="auto"/>
        <w:jc w:val="both"/>
        <w:rPr>
          <w:rFonts w:ascii="Arial" w:hAnsi="Arial" w:cs="Arial"/>
          <w:bCs/>
          <w:color w:val="FF0000"/>
          <w:sz w:val="20"/>
          <w:szCs w:val="20"/>
          <w:lang w:val="en-IE"/>
        </w:rPr>
      </w:pPr>
    </w:p>
    <w:p w:rsidR="00205148" w:rsidRPr="00156713" w:rsidRDefault="00205148" w:rsidP="00D54666">
      <w:pPr>
        <w:autoSpaceDE w:val="0"/>
        <w:autoSpaceDN w:val="0"/>
        <w:adjustRightInd w:val="0"/>
        <w:spacing w:after="0" w:line="360" w:lineRule="auto"/>
        <w:jc w:val="both"/>
        <w:rPr>
          <w:rFonts w:ascii="Arial" w:hAnsi="Arial" w:cs="Arial"/>
          <w:b/>
          <w:bCs/>
          <w:color w:val="000000"/>
          <w:sz w:val="20"/>
          <w:szCs w:val="20"/>
          <w:lang w:val="en-IE"/>
        </w:rPr>
      </w:pPr>
    </w:p>
    <w:p w:rsidR="00205148" w:rsidRPr="00156713" w:rsidRDefault="0099228D" w:rsidP="00D54666">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Section 2.8 Core Strategy Policies</w:t>
      </w:r>
    </w:p>
    <w:p w:rsidR="00205148" w:rsidRPr="00156713" w:rsidRDefault="00EE6EF7" w:rsidP="00D54666">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Policy CSP3</w:t>
      </w:r>
      <w:r w:rsidR="00205148" w:rsidRPr="00156713">
        <w:rPr>
          <w:rFonts w:ascii="Arial" w:hAnsi="Arial" w:cs="Arial"/>
          <w:b/>
          <w:bCs/>
          <w:color w:val="000000"/>
          <w:sz w:val="20"/>
          <w:szCs w:val="20"/>
          <w:lang w:val="en-IE"/>
        </w:rPr>
        <w:t>:</w:t>
      </w:r>
    </w:p>
    <w:p w:rsidR="00205148" w:rsidRPr="00156713" w:rsidRDefault="00205148" w:rsidP="00D54666">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To </w:t>
      </w:r>
      <w:r w:rsidR="00EE6EF7" w:rsidRPr="00156713">
        <w:rPr>
          <w:rFonts w:ascii="Arial" w:hAnsi="Arial" w:cs="Arial"/>
          <w:bCs/>
          <w:color w:val="000000"/>
          <w:sz w:val="20"/>
          <w:szCs w:val="20"/>
          <w:lang w:val="en-IE"/>
        </w:rPr>
        <w:t xml:space="preserve">guide development of towns in a sequential manner, outwards from the core area to maximise the use of existing and future infrastructure provision, promote sustainable development and make better use of underutilised lands </w:t>
      </w:r>
      <w:r w:rsidR="00EE6EF7" w:rsidRPr="00156713">
        <w:rPr>
          <w:rFonts w:ascii="Arial" w:hAnsi="Arial" w:cs="Arial"/>
          <w:bCs/>
          <w:color w:val="FF0000"/>
          <w:sz w:val="20"/>
          <w:szCs w:val="20"/>
          <w:lang w:val="en-IE"/>
        </w:rPr>
        <w:t>by implementing</w:t>
      </w:r>
      <w:r w:rsidR="00EE6EF7" w:rsidRPr="00156713">
        <w:rPr>
          <w:rFonts w:ascii="Arial" w:hAnsi="Arial" w:cs="Arial"/>
          <w:bCs/>
          <w:color w:val="000000"/>
          <w:sz w:val="20"/>
          <w:szCs w:val="20"/>
          <w:lang w:val="en-IE"/>
        </w:rPr>
        <w:t xml:space="preserve"> </w:t>
      </w:r>
      <w:r w:rsidRPr="00156713">
        <w:rPr>
          <w:rFonts w:ascii="Arial" w:hAnsi="Arial" w:cs="Arial"/>
          <w:bCs/>
          <w:color w:val="FF0000"/>
          <w:sz w:val="20"/>
          <w:szCs w:val="20"/>
          <w:lang w:val="en-IE"/>
        </w:rPr>
        <w:t xml:space="preserve">the provisions of the Urban Regeneration and Housing Act 2015 which includes </w:t>
      </w:r>
      <w:r w:rsidR="00610C12">
        <w:rPr>
          <w:rFonts w:ascii="Arial" w:hAnsi="Arial" w:cs="Arial"/>
          <w:bCs/>
          <w:color w:val="FF0000"/>
          <w:sz w:val="20"/>
          <w:szCs w:val="20"/>
          <w:lang w:val="en-IE"/>
        </w:rPr>
        <w:t>where appropriate</w:t>
      </w:r>
      <w:r w:rsidR="0099228D">
        <w:rPr>
          <w:rFonts w:ascii="Arial" w:hAnsi="Arial" w:cs="Arial"/>
          <w:bCs/>
          <w:color w:val="FF0000"/>
          <w:sz w:val="20"/>
          <w:szCs w:val="20"/>
          <w:lang w:val="en-IE"/>
        </w:rPr>
        <w:t xml:space="preserve"> </w:t>
      </w:r>
      <w:r w:rsidRPr="00156713">
        <w:rPr>
          <w:rFonts w:ascii="Arial" w:hAnsi="Arial" w:cs="Arial"/>
          <w:bCs/>
          <w:color w:val="FF0000"/>
          <w:sz w:val="20"/>
          <w:szCs w:val="20"/>
          <w:lang w:val="en-IE"/>
        </w:rPr>
        <w:t xml:space="preserve">the Vacant Site Levy in facilitating and encouraging the development and renewal of </w:t>
      </w:r>
      <w:r w:rsidR="0099228D">
        <w:rPr>
          <w:rFonts w:ascii="Arial" w:hAnsi="Arial" w:cs="Arial"/>
          <w:bCs/>
          <w:color w:val="FF0000"/>
          <w:sz w:val="20"/>
          <w:szCs w:val="20"/>
          <w:lang w:val="en-IE"/>
        </w:rPr>
        <w:t>designated vacant sites as provided for in the 2015 Act</w:t>
      </w:r>
      <w:r w:rsidRPr="00156713">
        <w:rPr>
          <w:rFonts w:ascii="Arial" w:hAnsi="Arial" w:cs="Arial"/>
          <w:bCs/>
          <w:color w:val="FF0000"/>
          <w:sz w:val="20"/>
          <w:szCs w:val="20"/>
          <w:lang w:val="en-IE"/>
        </w:rPr>
        <w:t xml:space="preserve">. </w:t>
      </w:r>
    </w:p>
    <w:p w:rsidR="00C86B9A" w:rsidRPr="00156713" w:rsidRDefault="00C86B9A" w:rsidP="00D54666">
      <w:pPr>
        <w:spacing w:line="360" w:lineRule="auto"/>
        <w:jc w:val="both"/>
        <w:outlineLvl w:val="2"/>
        <w:rPr>
          <w:rFonts w:ascii="Arial" w:hAnsi="Arial" w:cs="Arial"/>
          <w:b/>
          <w:color w:val="FF0000"/>
          <w:sz w:val="20"/>
          <w:szCs w:val="20"/>
          <w:lang w:val="en-IE"/>
        </w:rPr>
      </w:pPr>
    </w:p>
    <w:p w:rsidR="00205148" w:rsidRPr="00156713" w:rsidRDefault="00EE6EF7" w:rsidP="00D54666">
      <w:pPr>
        <w:spacing w:line="360" w:lineRule="auto"/>
        <w:jc w:val="both"/>
        <w:outlineLvl w:val="2"/>
        <w:rPr>
          <w:rFonts w:ascii="Arial" w:hAnsi="Arial" w:cs="Arial"/>
          <w:b/>
          <w:color w:val="FF0000"/>
          <w:sz w:val="20"/>
          <w:szCs w:val="20"/>
          <w:lang w:val="en-IE"/>
        </w:rPr>
      </w:pPr>
      <w:r w:rsidRPr="00156713">
        <w:rPr>
          <w:rFonts w:ascii="Arial" w:hAnsi="Arial" w:cs="Arial"/>
          <w:b/>
          <w:color w:val="FF0000"/>
          <w:sz w:val="20"/>
          <w:szCs w:val="20"/>
          <w:lang w:val="en-IE"/>
        </w:rPr>
        <w:t>Policy CSP21</w:t>
      </w:r>
      <w:r w:rsidR="00205148" w:rsidRPr="00156713">
        <w:rPr>
          <w:rFonts w:ascii="Arial" w:hAnsi="Arial" w:cs="Arial"/>
          <w:b/>
          <w:color w:val="FF0000"/>
          <w:sz w:val="20"/>
          <w:szCs w:val="20"/>
          <w:lang w:val="en-IE"/>
        </w:rPr>
        <w:t xml:space="preserve"> </w:t>
      </w:r>
    </w:p>
    <w:p w:rsidR="00205148" w:rsidRPr="00156713" w:rsidRDefault="00205148" w:rsidP="00D54666">
      <w:pPr>
        <w:spacing w:line="360" w:lineRule="auto"/>
        <w:jc w:val="both"/>
        <w:outlineLvl w:val="2"/>
        <w:rPr>
          <w:rFonts w:ascii="Arial" w:hAnsi="Arial" w:cs="Arial"/>
          <w:color w:val="FF0000"/>
          <w:sz w:val="20"/>
          <w:szCs w:val="20"/>
          <w:lang w:val="en-IE"/>
        </w:rPr>
      </w:pPr>
      <w:r w:rsidRPr="00156713">
        <w:rPr>
          <w:rFonts w:ascii="Arial" w:hAnsi="Arial" w:cs="Arial"/>
          <w:color w:val="FF0000"/>
          <w:sz w:val="20"/>
          <w:szCs w:val="20"/>
          <w:lang w:val="en-IE"/>
        </w:rPr>
        <w:t xml:space="preserve">To facilitate in the implementation of the Urban Regeneration and Housing Act 2015, in particular, by way of utilising site activation measures, including the provision of the Vacant Site Levy, as appropriate to assist in bringing forward vacant and/or underutilised ‘residential’ and ‘regeneration’ lands into beneficial use within lands identified in the Cavan County Development Plan 2014-2020. For the purposes of clarity, ‘residential’ and ‘regeneration lands’ as identified in the Urban Regeneration and Housing Act 2015 to be </w:t>
      </w:r>
      <w:r w:rsidR="00AA468F" w:rsidRPr="00156713">
        <w:rPr>
          <w:rFonts w:ascii="Arial" w:hAnsi="Arial" w:cs="Arial"/>
          <w:color w:val="FF0000"/>
          <w:sz w:val="20"/>
          <w:szCs w:val="20"/>
          <w:lang w:val="en-IE"/>
        </w:rPr>
        <w:t>interpreted</w:t>
      </w:r>
      <w:r w:rsidRPr="00156713">
        <w:rPr>
          <w:rFonts w:ascii="Arial" w:hAnsi="Arial" w:cs="Arial"/>
          <w:color w:val="FF0000"/>
          <w:sz w:val="20"/>
          <w:szCs w:val="20"/>
          <w:lang w:val="en-IE"/>
        </w:rPr>
        <w:t xml:space="preserve"> within the Cavan County Development Plan 2014-2020 as follows</w:t>
      </w:r>
    </w:p>
    <w:p w:rsidR="00205148" w:rsidRPr="005259A2" w:rsidRDefault="0099228D" w:rsidP="00D54666">
      <w:pPr>
        <w:spacing w:line="360" w:lineRule="auto"/>
        <w:jc w:val="both"/>
        <w:outlineLvl w:val="2"/>
        <w:rPr>
          <w:rFonts w:ascii="Arial" w:hAnsi="Arial" w:cs="Arial"/>
          <w:color w:val="FF0000"/>
          <w:sz w:val="20"/>
          <w:szCs w:val="20"/>
          <w:lang w:val="en-IE"/>
        </w:rPr>
      </w:pPr>
      <w:r>
        <w:rPr>
          <w:rFonts w:ascii="Arial" w:hAnsi="Arial" w:cs="Arial"/>
          <w:color w:val="FF0000"/>
          <w:sz w:val="20"/>
          <w:szCs w:val="20"/>
          <w:lang w:val="en-IE"/>
        </w:rPr>
        <w:t>Residenti</w:t>
      </w:r>
      <w:r w:rsidR="005259A2">
        <w:rPr>
          <w:rFonts w:ascii="Arial" w:hAnsi="Arial" w:cs="Arial"/>
          <w:color w:val="FF0000"/>
          <w:sz w:val="20"/>
          <w:szCs w:val="20"/>
          <w:lang w:val="en-IE"/>
        </w:rPr>
        <w:t>al</w:t>
      </w:r>
      <w:r w:rsidR="00205148" w:rsidRPr="00156713">
        <w:rPr>
          <w:rFonts w:ascii="Arial" w:hAnsi="Arial" w:cs="Arial"/>
          <w:color w:val="FF0000"/>
          <w:sz w:val="20"/>
          <w:szCs w:val="20"/>
          <w:lang w:val="en-IE"/>
        </w:rPr>
        <w:t>:</w:t>
      </w:r>
      <w:r w:rsidR="005259A2">
        <w:rPr>
          <w:rFonts w:ascii="Arial" w:hAnsi="Arial" w:cs="Arial"/>
          <w:color w:val="FF0000"/>
          <w:sz w:val="20"/>
          <w:szCs w:val="20"/>
          <w:lang w:val="en-IE"/>
        </w:rPr>
        <w:t xml:space="preserve"> </w:t>
      </w:r>
      <w:r w:rsidR="00205148" w:rsidRPr="00156713">
        <w:rPr>
          <w:rFonts w:ascii="Arial" w:hAnsi="Arial" w:cs="Arial"/>
          <w:color w:val="FF0000"/>
          <w:sz w:val="20"/>
          <w:szCs w:val="20"/>
          <w:lang w:val="en-IE"/>
        </w:rPr>
        <w:t>incl</w:t>
      </w:r>
      <w:r>
        <w:rPr>
          <w:rFonts w:ascii="Arial" w:hAnsi="Arial" w:cs="Arial"/>
          <w:color w:val="FF0000"/>
          <w:sz w:val="20"/>
          <w:szCs w:val="20"/>
          <w:lang w:val="en-IE"/>
        </w:rPr>
        <w:t xml:space="preserve">udes all lands zoned </w:t>
      </w:r>
      <w:r w:rsidR="005259A2">
        <w:rPr>
          <w:rFonts w:ascii="Arial" w:hAnsi="Arial" w:cs="Arial"/>
          <w:color w:val="FF0000"/>
          <w:sz w:val="20"/>
          <w:szCs w:val="20"/>
          <w:lang w:val="en-IE"/>
        </w:rPr>
        <w:t>‘</w:t>
      </w:r>
      <w:r>
        <w:rPr>
          <w:rFonts w:ascii="Arial" w:hAnsi="Arial" w:cs="Arial"/>
          <w:color w:val="FF0000"/>
          <w:sz w:val="20"/>
          <w:szCs w:val="20"/>
          <w:lang w:val="en-IE"/>
        </w:rPr>
        <w:t>Town Core</w:t>
      </w:r>
      <w:r w:rsidR="005259A2">
        <w:rPr>
          <w:rFonts w:ascii="Arial" w:hAnsi="Arial" w:cs="Arial"/>
          <w:color w:val="FF0000"/>
          <w:sz w:val="20"/>
          <w:szCs w:val="20"/>
          <w:lang w:val="en-IE"/>
        </w:rPr>
        <w:t>’</w:t>
      </w:r>
      <w:r w:rsidR="00205148" w:rsidRPr="00156713">
        <w:rPr>
          <w:rFonts w:ascii="Arial" w:hAnsi="Arial" w:cs="Arial"/>
          <w:color w:val="FF0000"/>
          <w:sz w:val="20"/>
          <w:szCs w:val="20"/>
          <w:lang w:val="en-IE"/>
        </w:rPr>
        <w:t xml:space="preserve">, </w:t>
      </w:r>
      <w:r w:rsidR="005259A2">
        <w:rPr>
          <w:rFonts w:ascii="Arial" w:hAnsi="Arial" w:cs="Arial"/>
          <w:color w:val="FF0000"/>
          <w:sz w:val="20"/>
          <w:szCs w:val="20"/>
          <w:lang w:val="en-IE"/>
        </w:rPr>
        <w:t>‘</w:t>
      </w:r>
      <w:r w:rsidR="00AA468F" w:rsidRPr="00156713">
        <w:rPr>
          <w:rFonts w:ascii="Arial" w:hAnsi="Arial" w:cs="Arial"/>
          <w:color w:val="FF0000"/>
          <w:sz w:val="20"/>
          <w:szCs w:val="20"/>
          <w:lang w:val="en-IE"/>
        </w:rPr>
        <w:t>Existing</w:t>
      </w:r>
      <w:r w:rsidR="00205148" w:rsidRPr="00156713">
        <w:rPr>
          <w:rFonts w:ascii="Arial" w:hAnsi="Arial" w:cs="Arial"/>
          <w:color w:val="FF0000"/>
          <w:sz w:val="20"/>
          <w:szCs w:val="20"/>
          <w:lang w:val="en-IE"/>
        </w:rPr>
        <w:t xml:space="preserve"> </w:t>
      </w:r>
      <w:r w:rsidR="00AA468F" w:rsidRPr="00156713">
        <w:rPr>
          <w:rFonts w:ascii="Arial" w:hAnsi="Arial" w:cs="Arial"/>
          <w:color w:val="FF0000"/>
          <w:sz w:val="20"/>
          <w:szCs w:val="20"/>
          <w:lang w:val="en-IE"/>
        </w:rPr>
        <w:t>Residential</w:t>
      </w:r>
      <w:r w:rsidR="005259A2">
        <w:rPr>
          <w:rFonts w:ascii="Arial" w:hAnsi="Arial" w:cs="Arial"/>
          <w:color w:val="FF0000"/>
          <w:sz w:val="20"/>
          <w:szCs w:val="20"/>
          <w:lang w:val="en-IE"/>
        </w:rPr>
        <w:t>’</w:t>
      </w:r>
      <w:r w:rsidR="00205148" w:rsidRPr="00156713">
        <w:rPr>
          <w:rFonts w:ascii="Arial" w:hAnsi="Arial" w:cs="Arial"/>
          <w:color w:val="FF0000"/>
          <w:sz w:val="20"/>
          <w:szCs w:val="20"/>
          <w:lang w:val="en-IE"/>
        </w:rPr>
        <w:t xml:space="preserve">, </w:t>
      </w:r>
      <w:r w:rsidR="005259A2">
        <w:rPr>
          <w:rFonts w:ascii="Arial" w:hAnsi="Arial" w:cs="Arial"/>
          <w:color w:val="FF0000"/>
          <w:sz w:val="20"/>
          <w:szCs w:val="20"/>
          <w:lang w:val="en-IE"/>
        </w:rPr>
        <w:t>‘</w:t>
      </w:r>
      <w:r w:rsidR="00EE6EF7" w:rsidRPr="00156713">
        <w:rPr>
          <w:rFonts w:ascii="Arial" w:hAnsi="Arial" w:cs="Arial"/>
          <w:color w:val="FF0000"/>
          <w:sz w:val="20"/>
          <w:szCs w:val="20"/>
          <w:lang w:val="en-IE"/>
        </w:rPr>
        <w:t xml:space="preserve">Proposed </w:t>
      </w:r>
      <w:r w:rsidR="00F86CFC" w:rsidRPr="00156713">
        <w:rPr>
          <w:rFonts w:ascii="Arial" w:hAnsi="Arial" w:cs="Arial"/>
          <w:color w:val="FF0000"/>
          <w:sz w:val="20"/>
          <w:szCs w:val="20"/>
          <w:lang w:val="en-IE"/>
        </w:rPr>
        <w:t>Residential</w:t>
      </w:r>
      <w:r w:rsidR="005259A2">
        <w:rPr>
          <w:rFonts w:ascii="Arial" w:hAnsi="Arial" w:cs="Arial"/>
          <w:color w:val="FF0000"/>
          <w:sz w:val="20"/>
          <w:szCs w:val="20"/>
          <w:lang w:val="en-IE"/>
        </w:rPr>
        <w:t>’</w:t>
      </w:r>
      <w:r w:rsidR="00205148" w:rsidRPr="00156713">
        <w:rPr>
          <w:rFonts w:ascii="Arial" w:hAnsi="Arial" w:cs="Arial"/>
          <w:color w:val="FF0000"/>
          <w:sz w:val="20"/>
          <w:szCs w:val="20"/>
          <w:lang w:val="en-IE"/>
        </w:rPr>
        <w:t xml:space="preserve"> </w:t>
      </w:r>
      <w:r w:rsidR="00EE6EF7" w:rsidRPr="00156713">
        <w:rPr>
          <w:rFonts w:ascii="Arial" w:hAnsi="Arial" w:cs="Arial"/>
          <w:color w:val="FF0000"/>
          <w:sz w:val="20"/>
          <w:szCs w:val="20"/>
          <w:lang w:val="en-IE"/>
        </w:rPr>
        <w:t xml:space="preserve">and </w:t>
      </w:r>
      <w:r w:rsidR="005259A2">
        <w:rPr>
          <w:rFonts w:ascii="Arial" w:hAnsi="Arial" w:cs="Arial"/>
          <w:color w:val="FF0000"/>
          <w:sz w:val="20"/>
          <w:szCs w:val="20"/>
          <w:lang w:val="en-IE"/>
        </w:rPr>
        <w:t>‘</w:t>
      </w:r>
      <w:r>
        <w:rPr>
          <w:rFonts w:ascii="Arial" w:hAnsi="Arial" w:cs="Arial"/>
          <w:bCs/>
          <w:color w:val="FF0000"/>
          <w:sz w:val="20"/>
          <w:szCs w:val="20"/>
          <w:lang w:val="en-IE"/>
        </w:rPr>
        <w:t>Residential, Mixed Use and O</w:t>
      </w:r>
      <w:r w:rsidR="00EE6EF7" w:rsidRPr="00156713">
        <w:rPr>
          <w:rFonts w:ascii="Arial" w:hAnsi="Arial" w:cs="Arial"/>
          <w:bCs/>
          <w:color w:val="FF0000"/>
          <w:sz w:val="20"/>
          <w:szCs w:val="20"/>
          <w:lang w:val="en-IE"/>
        </w:rPr>
        <w:t>ther Uses</w:t>
      </w:r>
      <w:r w:rsidR="005259A2">
        <w:rPr>
          <w:rFonts w:ascii="Arial" w:hAnsi="Arial" w:cs="Arial"/>
          <w:bCs/>
          <w:color w:val="FF0000"/>
          <w:sz w:val="20"/>
          <w:szCs w:val="20"/>
          <w:lang w:val="en-IE"/>
        </w:rPr>
        <w:t>’</w:t>
      </w:r>
      <w:r w:rsidR="00EE6EF7" w:rsidRPr="00156713">
        <w:rPr>
          <w:rFonts w:ascii="Arial" w:hAnsi="Arial" w:cs="Arial"/>
          <w:bCs/>
          <w:color w:val="FF0000"/>
          <w:sz w:val="20"/>
          <w:szCs w:val="20"/>
          <w:lang w:val="en-IE"/>
        </w:rPr>
        <w:t xml:space="preserve"> within Tier within Large (Tier 2) and </w:t>
      </w:r>
      <w:r w:rsidR="00F86CFC" w:rsidRPr="00156713">
        <w:rPr>
          <w:rFonts w:ascii="Arial" w:hAnsi="Arial" w:cs="Arial"/>
          <w:bCs/>
          <w:color w:val="FF0000"/>
          <w:sz w:val="20"/>
          <w:szCs w:val="20"/>
          <w:lang w:val="en-IE"/>
        </w:rPr>
        <w:t>Medium</w:t>
      </w:r>
      <w:r w:rsidR="00EE6EF7" w:rsidRPr="00156713">
        <w:rPr>
          <w:rFonts w:ascii="Arial" w:hAnsi="Arial" w:cs="Arial"/>
          <w:bCs/>
          <w:color w:val="FF0000"/>
          <w:sz w:val="20"/>
          <w:szCs w:val="20"/>
          <w:lang w:val="en-IE"/>
        </w:rPr>
        <w:t xml:space="preserve"> (Tier 3)</w:t>
      </w:r>
      <w:r>
        <w:rPr>
          <w:rFonts w:ascii="Arial" w:hAnsi="Arial" w:cs="Arial"/>
          <w:bCs/>
          <w:color w:val="FF0000"/>
          <w:sz w:val="20"/>
          <w:szCs w:val="20"/>
          <w:lang w:val="en-IE"/>
        </w:rPr>
        <w:t xml:space="preserve"> T</w:t>
      </w:r>
      <w:r w:rsidR="00EE6EF7" w:rsidRPr="00156713">
        <w:rPr>
          <w:rFonts w:ascii="Arial" w:hAnsi="Arial" w:cs="Arial"/>
          <w:bCs/>
          <w:color w:val="FF0000"/>
          <w:sz w:val="20"/>
          <w:szCs w:val="20"/>
          <w:lang w:val="en-IE"/>
        </w:rPr>
        <w:t xml:space="preserve">owns </w:t>
      </w:r>
      <w:r w:rsidR="00EE6EF7" w:rsidRPr="005259A2">
        <w:rPr>
          <w:rFonts w:ascii="Arial" w:hAnsi="Arial" w:cs="Arial"/>
          <w:bCs/>
          <w:color w:val="FF0000"/>
          <w:sz w:val="20"/>
          <w:szCs w:val="20"/>
          <w:lang w:val="en-IE"/>
        </w:rPr>
        <w:t xml:space="preserve">of the County. </w:t>
      </w:r>
    </w:p>
    <w:p w:rsidR="00205148" w:rsidRPr="00156713" w:rsidRDefault="00AA468F" w:rsidP="00D54666">
      <w:pPr>
        <w:spacing w:line="360" w:lineRule="auto"/>
        <w:jc w:val="both"/>
        <w:outlineLvl w:val="2"/>
        <w:rPr>
          <w:rFonts w:ascii="Arial" w:hAnsi="Arial" w:cs="Arial"/>
          <w:color w:val="FF0000"/>
          <w:sz w:val="20"/>
          <w:szCs w:val="20"/>
          <w:lang w:val="en-IE"/>
        </w:rPr>
      </w:pPr>
      <w:r w:rsidRPr="005259A2">
        <w:rPr>
          <w:rFonts w:ascii="Arial" w:hAnsi="Arial" w:cs="Arial"/>
          <w:color w:val="FF0000"/>
          <w:sz w:val="20"/>
          <w:szCs w:val="20"/>
          <w:lang w:val="en-IE"/>
        </w:rPr>
        <w:t>Regeneration:</w:t>
      </w:r>
      <w:r w:rsidR="00EE6EF7" w:rsidRPr="005259A2">
        <w:rPr>
          <w:rFonts w:ascii="Arial" w:hAnsi="Arial" w:cs="Arial"/>
          <w:color w:val="FF0000"/>
          <w:sz w:val="20"/>
          <w:szCs w:val="20"/>
          <w:lang w:val="en-IE"/>
        </w:rPr>
        <w:t xml:space="preserve"> includes all lands zoned </w:t>
      </w:r>
      <w:r w:rsidR="005259A2" w:rsidRPr="005259A2">
        <w:rPr>
          <w:rFonts w:ascii="Arial" w:hAnsi="Arial" w:cs="Arial"/>
          <w:color w:val="FF0000"/>
          <w:sz w:val="20"/>
          <w:szCs w:val="20"/>
          <w:lang w:val="en-IE"/>
        </w:rPr>
        <w:t>‘</w:t>
      </w:r>
      <w:r w:rsidR="00EE6EF7" w:rsidRPr="005259A2">
        <w:rPr>
          <w:rFonts w:ascii="Arial" w:hAnsi="Arial" w:cs="Arial"/>
          <w:color w:val="FF0000"/>
          <w:sz w:val="20"/>
          <w:szCs w:val="20"/>
          <w:lang w:val="en-IE"/>
        </w:rPr>
        <w:t>Town Core</w:t>
      </w:r>
      <w:r w:rsidR="005259A2" w:rsidRPr="005259A2">
        <w:rPr>
          <w:rFonts w:ascii="Arial" w:hAnsi="Arial" w:cs="Arial"/>
          <w:color w:val="FF0000"/>
          <w:sz w:val="20"/>
          <w:szCs w:val="20"/>
          <w:lang w:val="en-IE"/>
        </w:rPr>
        <w:t>’</w:t>
      </w:r>
      <w:r w:rsidR="00205148" w:rsidRPr="005259A2">
        <w:rPr>
          <w:rFonts w:ascii="Arial" w:hAnsi="Arial" w:cs="Arial"/>
          <w:color w:val="FF0000"/>
          <w:sz w:val="20"/>
          <w:szCs w:val="20"/>
          <w:lang w:val="en-IE"/>
        </w:rPr>
        <w:t xml:space="preserve">, </w:t>
      </w:r>
      <w:r w:rsidR="005259A2" w:rsidRPr="005259A2">
        <w:rPr>
          <w:rFonts w:ascii="Arial" w:hAnsi="Arial" w:cs="Arial"/>
          <w:color w:val="FF0000"/>
          <w:sz w:val="20"/>
          <w:szCs w:val="20"/>
          <w:lang w:val="en-IE"/>
        </w:rPr>
        <w:t>‘</w:t>
      </w:r>
      <w:r w:rsidR="00EE6EF7" w:rsidRPr="005259A2">
        <w:rPr>
          <w:rFonts w:ascii="Arial" w:hAnsi="Arial" w:cs="Arial"/>
          <w:color w:val="FF0000"/>
          <w:sz w:val="20"/>
          <w:szCs w:val="20"/>
          <w:lang w:val="en-IE"/>
        </w:rPr>
        <w:t>Industry</w:t>
      </w:r>
      <w:r w:rsidR="005259A2" w:rsidRPr="005259A2">
        <w:rPr>
          <w:rFonts w:ascii="Arial" w:hAnsi="Arial" w:cs="Arial"/>
          <w:color w:val="FF0000"/>
          <w:sz w:val="20"/>
          <w:szCs w:val="20"/>
          <w:lang w:val="en-IE"/>
        </w:rPr>
        <w:t>’</w:t>
      </w:r>
      <w:r w:rsidR="00EE6EF7" w:rsidRPr="005259A2">
        <w:rPr>
          <w:rFonts w:ascii="Arial" w:hAnsi="Arial" w:cs="Arial"/>
          <w:color w:val="FF0000"/>
          <w:sz w:val="20"/>
          <w:szCs w:val="20"/>
          <w:lang w:val="en-IE"/>
        </w:rPr>
        <w:t xml:space="preserve">, </w:t>
      </w:r>
      <w:r w:rsidR="005259A2" w:rsidRPr="005259A2">
        <w:rPr>
          <w:rFonts w:ascii="Arial" w:hAnsi="Arial" w:cs="Arial"/>
          <w:color w:val="FF0000"/>
          <w:sz w:val="20"/>
          <w:szCs w:val="20"/>
          <w:lang w:val="en-IE"/>
        </w:rPr>
        <w:t>‘</w:t>
      </w:r>
      <w:r w:rsidR="0099228D" w:rsidRPr="005259A2">
        <w:rPr>
          <w:rFonts w:ascii="Arial" w:hAnsi="Arial" w:cs="Arial"/>
          <w:color w:val="FF0000"/>
          <w:sz w:val="20"/>
          <w:szCs w:val="20"/>
          <w:lang w:val="en-IE"/>
        </w:rPr>
        <w:t>Enterprise and Employment</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 xml:space="preserve">, </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Existing Retail</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 xml:space="preserve">, </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Commercial</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 xml:space="preserve">, </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R</w:t>
      </w:r>
      <w:r w:rsidR="0099228D" w:rsidRPr="005259A2">
        <w:rPr>
          <w:rFonts w:ascii="Arial" w:hAnsi="Arial" w:cs="Arial"/>
          <w:color w:val="FF0000"/>
          <w:sz w:val="20"/>
          <w:szCs w:val="20"/>
          <w:lang w:val="en-IE"/>
        </w:rPr>
        <w:t>esidential, Mixed Use and Other Uses</w:t>
      </w:r>
      <w:r w:rsidR="005259A2" w:rsidRPr="005259A2">
        <w:rPr>
          <w:rFonts w:ascii="Arial" w:hAnsi="Arial" w:cs="Arial"/>
          <w:color w:val="FF0000"/>
          <w:sz w:val="20"/>
          <w:szCs w:val="20"/>
          <w:lang w:val="en-IE"/>
        </w:rPr>
        <w:t>’</w:t>
      </w:r>
      <w:r w:rsidR="00752D3A" w:rsidRPr="005259A2">
        <w:rPr>
          <w:rFonts w:ascii="Arial" w:hAnsi="Arial" w:cs="Arial"/>
          <w:color w:val="FF0000"/>
          <w:sz w:val="20"/>
          <w:szCs w:val="20"/>
          <w:lang w:val="en-IE"/>
        </w:rPr>
        <w:t xml:space="preserve"> within</w:t>
      </w:r>
      <w:r w:rsidR="0099228D" w:rsidRPr="005259A2">
        <w:rPr>
          <w:rFonts w:ascii="Arial" w:hAnsi="Arial" w:cs="Arial"/>
          <w:color w:val="FF0000"/>
          <w:sz w:val="20"/>
          <w:szCs w:val="20"/>
          <w:lang w:val="en-IE"/>
        </w:rPr>
        <w:t xml:space="preserve"> Large (</w:t>
      </w:r>
      <w:r w:rsidR="00752D3A" w:rsidRPr="005259A2">
        <w:rPr>
          <w:rFonts w:ascii="Arial" w:hAnsi="Arial" w:cs="Arial"/>
          <w:color w:val="FF0000"/>
          <w:sz w:val="20"/>
          <w:szCs w:val="20"/>
          <w:lang w:val="en-IE"/>
        </w:rPr>
        <w:t>Tier 2</w:t>
      </w:r>
      <w:r w:rsidR="0099228D" w:rsidRPr="005259A2">
        <w:rPr>
          <w:rFonts w:ascii="Arial" w:hAnsi="Arial" w:cs="Arial"/>
          <w:color w:val="FF0000"/>
          <w:sz w:val="20"/>
          <w:szCs w:val="20"/>
          <w:lang w:val="en-IE"/>
        </w:rPr>
        <w:t>)</w:t>
      </w:r>
      <w:r w:rsidR="00752D3A" w:rsidRPr="005259A2">
        <w:rPr>
          <w:rFonts w:ascii="Arial" w:hAnsi="Arial" w:cs="Arial"/>
          <w:color w:val="FF0000"/>
          <w:sz w:val="20"/>
          <w:szCs w:val="20"/>
          <w:lang w:val="en-IE"/>
        </w:rPr>
        <w:t xml:space="preserve"> and </w:t>
      </w:r>
      <w:r w:rsidR="0099228D" w:rsidRPr="005259A2">
        <w:rPr>
          <w:rFonts w:ascii="Arial" w:hAnsi="Arial" w:cs="Arial"/>
          <w:color w:val="FF0000"/>
          <w:sz w:val="20"/>
          <w:szCs w:val="20"/>
          <w:lang w:val="en-IE"/>
        </w:rPr>
        <w:t>Medium (</w:t>
      </w:r>
      <w:r w:rsidR="00752D3A" w:rsidRPr="005259A2">
        <w:rPr>
          <w:rFonts w:ascii="Arial" w:hAnsi="Arial" w:cs="Arial"/>
          <w:color w:val="FF0000"/>
          <w:sz w:val="20"/>
          <w:szCs w:val="20"/>
          <w:lang w:val="en-IE"/>
        </w:rPr>
        <w:t>Tier 3</w:t>
      </w:r>
      <w:r w:rsidR="0099228D" w:rsidRPr="005259A2">
        <w:rPr>
          <w:rFonts w:ascii="Arial" w:hAnsi="Arial" w:cs="Arial"/>
          <w:color w:val="FF0000"/>
          <w:sz w:val="20"/>
          <w:szCs w:val="20"/>
          <w:lang w:val="en-IE"/>
        </w:rPr>
        <w:t>) Towns of the C</w:t>
      </w:r>
      <w:r w:rsidR="00752D3A" w:rsidRPr="005259A2">
        <w:rPr>
          <w:rFonts w:ascii="Arial" w:hAnsi="Arial" w:cs="Arial"/>
          <w:color w:val="FF0000"/>
          <w:sz w:val="20"/>
          <w:szCs w:val="20"/>
          <w:lang w:val="en-IE"/>
        </w:rPr>
        <w:t>ounty.</w:t>
      </w:r>
      <w:r w:rsidR="00752D3A" w:rsidRPr="00156713">
        <w:rPr>
          <w:rFonts w:ascii="Arial" w:hAnsi="Arial" w:cs="Arial"/>
          <w:color w:val="FF0000"/>
          <w:sz w:val="20"/>
          <w:szCs w:val="20"/>
          <w:lang w:val="en-IE"/>
        </w:rPr>
        <w:t xml:space="preserve"> </w:t>
      </w:r>
    </w:p>
    <w:p w:rsidR="006C54F6" w:rsidRDefault="006C54F6" w:rsidP="00D54666">
      <w:pPr>
        <w:spacing w:line="360" w:lineRule="auto"/>
        <w:jc w:val="both"/>
        <w:outlineLvl w:val="2"/>
        <w:rPr>
          <w:rFonts w:ascii="Arial" w:hAnsi="Arial" w:cs="Arial"/>
          <w:b/>
          <w:bCs/>
          <w:color w:val="FF0000"/>
          <w:sz w:val="20"/>
          <w:szCs w:val="20"/>
          <w:lang w:val="en-IE"/>
        </w:rPr>
      </w:pPr>
    </w:p>
    <w:p w:rsidR="006C54F6" w:rsidRDefault="006C54F6" w:rsidP="00D54666">
      <w:pPr>
        <w:spacing w:line="360" w:lineRule="auto"/>
        <w:jc w:val="both"/>
        <w:outlineLvl w:val="2"/>
        <w:rPr>
          <w:rFonts w:ascii="Arial" w:hAnsi="Arial" w:cs="Arial"/>
          <w:b/>
          <w:bCs/>
          <w:color w:val="FF0000"/>
          <w:sz w:val="20"/>
          <w:szCs w:val="20"/>
          <w:lang w:val="en-IE"/>
        </w:rPr>
      </w:pPr>
    </w:p>
    <w:p w:rsidR="006C54F6" w:rsidRDefault="006C54F6" w:rsidP="00D54666">
      <w:pPr>
        <w:spacing w:line="360" w:lineRule="auto"/>
        <w:jc w:val="both"/>
        <w:outlineLvl w:val="2"/>
        <w:rPr>
          <w:rFonts w:ascii="Arial" w:hAnsi="Arial" w:cs="Arial"/>
          <w:b/>
          <w:bCs/>
          <w:color w:val="FF0000"/>
          <w:sz w:val="20"/>
          <w:szCs w:val="20"/>
          <w:lang w:val="en-IE"/>
        </w:rPr>
      </w:pPr>
    </w:p>
    <w:p w:rsidR="006C54F6" w:rsidRDefault="006C54F6" w:rsidP="00D54666">
      <w:pPr>
        <w:spacing w:line="360" w:lineRule="auto"/>
        <w:jc w:val="both"/>
        <w:outlineLvl w:val="2"/>
        <w:rPr>
          <w:rFonts w:ascii="Arial" w:hAnsi="Arial" w:cs="Arial"/>
          <w:b/>
          <w:bCs/>
          <w:color w:val="FF0000"/>
          <w:sz w:val="20"/>
          <w:szCs w:val="20"/>
          <w:lang w:val="en-IE"/>
        </w:rPr>
      </w:pPr>
    </w:p>
    <w:p w:rsidR="00205148" w:rsidRPr="00156713" w:rsidRDefault="00EE6EF7" w:rsidP="00D54666">
      <w:pPr>
        <w:spacing w:line="360" w:lineRule="auto"/>
        <w:jc w:val="both"/>
        <w:outlineLvl w:val="2"/>
        <w:rPr>
          <w:rFonts w:ascii="Arial" w:hAnsi="Arial" w:cs="Arial"/>
          <w:b/>
          <w:bCs/>
          <w:color w:val="FF0000"/>
          <w:sz w:val="20"/>
          <w:szCs w:val="20"/>
          <w:lang w:val="en-IE"/>
        </w:rPr>
      </w:pPr>
      <w:r w:rsidRPr="00156713">
        <w:rPr>
          <w:rFonts w:ascii="Arial" w:hAnsi="Arial" w:cs="Arial"/>
          <w:b/>
          <w:bCs/>
          <w:color w:val="FF0000"/>
          <w:sz w:val="20"/>
          <w:szCs w:val="20"/>
          <w:lang w:val="en-IE"/>
        </w:rPr>
        <w:lastRenderedPageBreak/>
        <w:t>CSP22</w:t>
      </w:r>
    </w:p>
    <w:p w:rsidR="00AF79E5" w:rsidRPr="005259A2" w:rsidRDefault="00AA468F" w:rsidP="005259A2">
      <w:pPr>
        <w:spacing w:line="360" w:lineRule="auto"/>
        <w:jc w:val="both"/>
        <w:outlineLvl w:val="2"/>
        <w:rPr>
          <w:rFonts w:ascii="Arial" w:hAnsi="Arial" w:cs="Arial"/>
          <w:bCs/>
          <w:color w:val="FF0000"/>
          <w:sz w:val="20"/>
          <w:szCs w:val="20"/>
          <w:lang w:val="en-IE"/>
        </w:rPr>
      </w:pPr>
      <w:r w:rsidRPr="00156713">
        <w:rPr>
          <w:rFonts w:ascii="Arial" w:hAnsi="Arial" w:cs="Arial"/>
          <w:bCs/>
          <w:color w:val="FF0000"/>
          <w:sz w:val="20"/>
          <w:szCs w:val="20"/>
          <w:lang w:val="en-IE"/>
        </w:rPr>
        <w:t xml:space="preserve">To undertake site </w:t>
      </w:r>
      <w:r w:rsidRPr="006C54F6">
        <w:rPr>
          <w:rFonts w:ascii="Arial" w:hAnsi="Arial" w:cs="Arial"/>
          <w:bCs/>
          <w:color w:val="FF0000"/>
          <w:sz w:val="20"/>
          <w:szCs w:val="20"/>
          <w:lang w:val="en-IE"/>
        </w:rPr>
        <w:t>activation measures (including the utilisation of the Vacant Site Levy</w:t>
      </w:r>
      <w:r w:rsidR="005259A2" w:rsidRPr="006C54F6">
        <w:rPr>
          <w:rFonts w:ascii="Arial" w:hAnsi="Arial" w:cs="Arial"/>
          <w:bCs/>
          <w:color w:val="FF0000"/>
          <w:sz w:val="20"/>
          <w:szCs w:val="20"/>
          <w:lang w:val="en-IE"/>
        </w:rPr>
        <w:t>, where appropriate)</w:t>
      </w:r>
      <w:r w:rsidRPr="006C54F6">
        <w:rPr>
          <w:rFonts w:ascii="Arial" w:hAnsi="Arial" w:cs="Arial"/>
          <w:bCs/>
          <w:color w:val="FF0000"/>
          <w:sz w:val="20"/>
          <w:szCs w:val="20"/>
          <w:lang w:val="en-IE"/>
        </w:rPr>
        <w:t xml:space="preserve"> set out under the Urban Regeneration and Housi</w:t>
      </w:r>
      <w:r w:rsidR="00752D3A" w:rsidRPr="006C54F6">
        <w:rPr>
          <w:rFonts w:ascii="Arial" w:hAnsi="Arial" w:cs="Arial"/>
          <w:bCs/>
          <w:color w:val="FF0000"/>
          <w:sz w:val="20"/>
          <w:szCs w:val="20"/>
          <w:lang w:val="en-IE"/>
        </w:rPr>
        <w:t xml:space="preserve">ng Act 2015 to ensure that </w:t>
      </w:r>
      <w:r w:rsidR="00406B66">
        <w:rPr>
          <w:rFonts w:ascii="Arial" w:hAnsi="Arial" w:cs="Arial"/>
          <w:bCs/>
          <w:color w:val="FF0000"/>
          <w:sz w:val="20"/>
          <w:szCs w:val="20"/>
          <w:lang w:val="en-IE"/>
        </w:rPr>
        <w:t xml:space="preserve">designated vacant sites,  as provided for in the 2015 Act, </w:t>
      </w:r>
      <w:r w:rsidRPr="00156713">
        <w:rPr>
          <w:rFonts w:ascii="Arial" w:hAnsi="Arial" w:cs="Arial"/>
          <w:bCs/>
          <w:color w:val="FF0000"/>
          <w:sz w:val="20"/>
          <w:szCs w:val="20"/>
          <w:lang w:val="en-IE"/>
        </w:rPr>
        <w:t>are brought into beneficial use, while also ensuring more efficient return on investment in enabling infrastructure and to counter unsustainable urban sprawl.</w:t>
      </w:r>
    </w:p>
    <w:p w:rsidR="00205148" w:rsidRPr="00156713" w:rsidRDefault="00205148" w:rsidP="00D54666">
      <w:pPr>
        <w:spacing w:line="360" w:lineRule="auto"/>
        <w:jc w:val="both"/>
        <w:rPr>
          <w:rFonts w:ascii="Arial" w:hAnsi="Arial" w:cs="Arial"/>
          <w:b/>
          <w:sz w:val="20"/>
          <w:szCs w:val="20"/>
          <w:lang w:val="en-IE"/>
        </w:rPr>
      </w:pPr>
      <w:r w:rsidRPr="00156713">
        <w:rPr>
          <w:rFonts w:ascii="Arial" w:hAnsi="Arial" w:cs="Arial"/>
          <w:b/>
          <w:sz w:val="20"/>
          <w:szCs w:val="20"/>
          <w:lang w:val="en-IE"/>
        </w:rPr>
        <w:t xml:space="preserve">Chapter 5 </w:t>
      </w:r>
    </w:p>
    <w:p w:rsidR="00B375B1" w:rsidRPr="00156713" w:rsidRDefault="00205148" w:rsidP="00D54666">
      <w:pPr>
        <w:spacing w:line="360" w:lineRule="auto"/>
        <w:jc w:val="both"/>
        <w:rPr>
          <w:rFonts w:ascii="Arial" w:hAnsi="Arial" w:cs="Arial"/>
          <w:b/>
          <w:sz w:val="20"/>
          <w:szCs w:val="20"/>
          <w:lang w:val="en-IE"/>
        </w:rPr>
      </w:pPr>
      <w:r w:rsidRPr="00156713">
        <w:rPr>
          <w:rFonts w:ascii="Arial" w:hAnsi="Arial" w:cs="Arial"/>
          <w:b/>
          <w:sz w:val="20"/>
          <w:szCs w:val="20"/>
          <w:lang w:val="en-IE"/>
        </w:rPr>
        <w:t>Section 5.3</w:t>
      </w:r>
      <w:r w:rsidR="00B375B1" w:rsidRPr="00156713">
        <w:rPr>
          <w:rFonts w:ascii="Arial" w:hAnsi="Arial" w:cs="Arial"/>
          <w:b/>
          <w:sz w:val="20"/>
          <w:szCs w:val="20"/>
          <w:lang w:val="en-IE"/>
        </w:rPr>
        <w:t xml:space="preserve"> </w:t>
      </w:r>
      <w:r w:rsidRPr="00156713">
        <w:rPr>
          <w:rFonts w:ascii="Arial" w:hAnsi="Arial" w:cs="Arial"/>
          <w:b/>
          <w:sz w:val="20"/>
          <w:szCs w:val="20"/>
          <w:lang w:val="en-IE"/>
        </w:rPr>
        <w:t>Pr</w:t>
      </w:r>
      <w:r w:rsidR="00EE6EF7" w:rsidRPr="00156713">
        <w:rPr>
          <w:rFonts w:ascii="Arial" w:hAnsi="Arial" w:cs="Arial"/>
          <w:b/>
          <w:sz w:val="20"/>
          <w:szCs w:val="20"/>
          <w:lang w:val="en-IE"/>
        </w:rPr>
        <w:t>o</w:t>
      </w:r>
      <w:r w:rsidRPr="00156713">
        <w:rPr>
          <w:rFonts w:ascii="Arial" w:hAnsi="Arial" w:cs="Arial"/>
          <w:b/>
          <w:sz w:val="20"/>
          <w:szCs w:val="20"/>
          <w:lang w:val="en-IE"/>
        </w:rPr>
        <w:t xml:space="preserve">vision of Housing </w:t>
      </w:r>
    </w:p>
    <w:p w:rsidR="00205148" w:rsidRPr="00156713" w:rsidRDefault="00205148" w:rsidP="00D54666">
      <w:pPr>
        <w:spacing w:line="360" w:lineRule="auto"/>
        <w:jc w:val="both"/>
        <w:rPr>
          <w:rFonts w:ascii="Arial" w:hAnsi="Arial" w:cs="Arial"/>
          <w:b/>
          <w:sz w:val="20"/>
          <w:szCs w:val="20"/>
          <w:lang w:val="en-IE"/>
        </w:rPr>
      </w:pPr>
      <w:r w:rsidRPr="00156713">
        <w:rPr>
          <w:rFonts w:ascii="Arial" w:hAnsi="Arial" w:cs="Arial"/>
          <w:sz w:val="20"/>
          <w:szCs w:val="20"/>
          <w:lang w:val="en-IE"/>
        </w:rPr>
        <w:t>It is a recommendation of the Housing Strategy that;</w:t>
      </w:r>
    </w:p>
    <w:p w:rsidR="00205148" w:rsidRPr="00156713" w:rsidRDefault="00205148" w:rsidP="00D54666">
      <w:pPr>
        <w:numPr>
          <w:ilvl w:val="0"/>
          <w:numId w:val="9"/>
        </w:numPr>
        <w:spacing w:after="0" w:line="360" w:lineRule="auto"/>
        <w:jc w:val="both"/>
        <w:rPr>
          <w:rFonts w:ascii="Arial" w:hAnsi="Arial" w:cs="Arial"/>
          <w:sz w:val="20"/>
          <w:szCs w:val="20"/>
        </w:rPr>
      </w:pPr>
      <w:r w:rsidRPr="00156713">
        <w:rPr>
          <w:rFonts w:ascii="Arial" w:hAnsi="Arial" w:cs="Arial"/>
          <w:strike/>
          <w:sz w:val="20"/>
          <w:szCs w:val="20"/>
          <w:lang w:val="en-IE"/>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 xml:space="preserve">10% </w:t>
      </w:r>
      <w:r w:rsidRPr="00156713">
        <w:rPr>
          <w:rFonts w:ascii="Arial" w:hAnsi="Arial" w:cs="Arial"/>
          <w:sz w:val="20"/>
          <w:szCs w:val="20"/>
          <w:lang w:val="en-IE"/>
        </w:rPr>
        <w:t>of land</w:t>
      </w:r>
      <w:r w:rsidRPr="00156713">
        <w:rPr>
          <w:rFonts w:ascii="Arial" w:hAnsi="Arial" w:cs="Arial"/>
          <w:color w:val="FF0000"/>
          <w:sz w:val="20"/>
          <w:szCs w:val="20"/>
          <w:lang w:val="en-IE"/>
        </w:rPr>
        <w:t xml:space="preserve">,  </w:t>
      </w:r>
      <w:r w:rsidRPr="00156713">
        <w:rPr>
          <w:rFonts w:ascii="Arial" w:hAnsi="Arial" w:cs="Arial"/>
          <w:sz w:val="20"/>
          <w:szCs w:val="20"/>
        </w:rPr>
        <w:t>that is zoned for residential use or a mix of residential and other uses shall be reserved for the purpose of ;</w:t>
      </w:r>
    </w:p>
    <w:p w:rsidR="00205148" w:rsidRPr="00156713" w:rsidRDefault="00205148" w:rsidP="00D54666">
      <w:pPr>
        <w:numPr>
          <w:ilvl w:val="0"/>
          <w:numId w:val="8"/>
        </w:numPr>
        <w:spacing w:after="0" w:line="360" w:lineRule="auto"/>
        <w:jc w:val="both"/>
        <w:rPr>
          <w:rFonts w:ascii="Arial" w:hAnsi="Arial" w:cs="Arial"/>
          <w:sz w:val="20"/>
          <w:szCs w:val="20"/>
        </w:rPr>
      </w:pPr>
      <w:r w:rsidRPr="00156713">
        <w:rPr>
          <w:rFonts w:ascii="Arial" w:hAnsi="Arial" w:cs="Arial"/>
          <w:sz w:val="20"/>
          <w:szCs w:val="20"/>
        </w:rPr>
        <w:t>Housing for persons referred to in section 9(2) of the Housing Act 1988.</w:t>
      </w:r>
    </w:p>
    <w:p w:rsidR="00205148" w:rsidRPr="005259A2" w:rsidRDefault="00205148" w:rsidP="00D54666">
      <w:pPr>
        <w:numPr>
          <w:ilvl w:val="0"/>
          <w:numId w:val="8"/>
        </w:numPr>
        <w:spacing w:after="0" w:line="360" w:lineRule="auto"/>
        <w:jc w:val="both"/>
        <w:rPr>
          <w:rFonts w:ascii="Arial" w:hAnsi="Arial" w:cs="Arial"/>
          <w:strike/>
          <w:sz w:val="20"/>
          <w:szCs w:val="20"/>
        </w:rPr>
      </w:pPr>
      <w:r w:rsidRPr="005259A2">
        <w:rPr>
          <w:rFonts w:ascii="Arial" w:hAnsi="Arial" w:cs="Arial"/>
          <w:strike/>
          <w:sz w:val="20"/>
          <w:szCs w:val="20"/>
        </w:rPr>
        <w:t>Affordable housing, as defined in section 93 of the Planning and Development Act 2000.</w:t>
      </w:r>
    </w:p>
    <w:p w:rsidR="00205148" w:rsidRPr="00156713" w:rsidRDefault="00205148" w:rsidP="00D54666">
      <w:pPr>
        <w:spacing w:after="0" w:line="360" w:lineRule="auto"/>
        <w:jc w:val="both"/>
        <w:rPr>
          <w:rFonts w:ascii="Arial" w:hAnsi="Arial" w:cs="Arial"/>
          <w:sz w:val="20"/>
          <w:szCs w:val="20"/>
          <w:lang w:val="en-IE"/>
        </w:rPr>
      </w:pPr>
    </w:p>
    <w:p w:rsidR="00DC7662" w:rsidRDefault="00B375B1" w:rsidP="00D54666">
      <w:pPr>
        <w:autoSpaceDE w:val="0"/>
        <w:autoSpaceDN w:val="0"/>
        <w:adjustRightInd w:val="0"/>
        <w:spacing w:line="360" w:lineRule="auto"/>
        <w:ind w:left="720" w:hanging="720"/>
        <w:jc w:val="both"/>
        <w:rPr>
          <w:rFonts w:ascii="Arial" w:hAnsi="Arial" w:cs="Arial"/>
          <w:sz w:val="20"/>
          <w:szCs w:val="20"/>
          <w:lang w:val="en-IE"/>
        </w:rPr>
      </w:pPr>
      <w:r w:rsidRPr="00156713">
        <w:rPr>
          <w:rFonts w:ascii="Arial" w:hAnsi="Arial" w:cs="Arial"/>
          <w:sz w:val="20"/>
          <w:szCs w:val="20"/>
        </w:rPr>
        <w:t>HO1</w:t>
      </w:r>
      <w:r w:rsidRPr="00156713">
        <w:rPr>
          <w:rFonts w:ascii="Arial" w:hAnsi="Arial" w:cs="Arial"/>
          <w:sz w:val="20"/>
          <w:szCs w:val="20"/>
          <w:lang w:val="en-IE"/>
        </w:rPr>
        <w:t>2</w:t>
      </w:r>
      <w:r w:rsidR="00205148" w:rsidRPr="00156713">
        <w:rPr>
          <w:rFonts w:ascii="Arial" w:hAnsi="Arial" w:cs="Arial"/>
          <w:sz w:val="20"/>
          <w:szCs w:val="20"/>
        </w:rPr>
        <w:tab/>
        <w:t xml:space="preserve">Require, as provided for under Section 95 of the Act, as amended, that </w:t>
      </w:r>
      <w:r w:rsidR="00205148" w:rsidRPr="00156713">
        <w:rPr>
          <w:rFonts w:ascii="Arial" w:hAnsi="Arial" w:cs="Arial"/>
          <w:strike/>
          <w:sz w:val="20"/>
          <w:szCs w:val="20"/>
        </w:rPr>
        <w:t>20%</w:t>
      </w:r>
      <w:r w:rsidR="00205148" w:rsidRPr="00156713">
        <w:rPr>
          <w:rFonts w:ascii="Arial" w:hAnsi="Arial" w:cs="Arial"/>
          <w:sz w:val="20"/>
          <w:szCs w:val="20"/>
          <w:lang w:val="en-IE"/>
        </w:rPr>
        <w:t xml:space="preserve"> </w:t>
      </w:r>
      <w:r w:rsidR="00205148" w:rsidRPr="00156713">
        <w:rPr>
          <w:rFonts w:ascii="Arial" w:hAnsi="Arial" w:cs="Arial"/>
          <w:color w:val="FF0000"/>
          <w:sz w:val="20"/>
          <w:szCs w:val="20"/>
          <w:lang w:val="en-IE"/>
        </w:rPr>
        <w:t>10%</w:t>
      </w:r>
      <w:r w:rsidR="00205148" w:rsidRPr="00156713">
        <w:rPr>
          <w:rFonts w:ascii="Arial" w:hAnsi="Arial" w:cs="Arial"/>
          <w:sz w:val="20"/>
          <w:szCs w:val="20"/>
        </w:rPr>
        <w:t xml:space="preserve"> of land zoned for residential use or for a mixture of residential and other uses shall be reserved for </w:t>
      </w:r>
    </w:p>
    <w:p w:rsidR="00205148" w:rsidRPr="00DC7662" w:rsidRDefault="00205148" w:rsidP="00DC7662">
      <w:pPr>
        <w:autoSpaceDE w:val="0"/>
        <w:autoSpaceDN w:val="0"/>
        <w:adjustRightInd w:val="0"/>
        <w:spacing w:line="360" w:lineRule="auto"/>
        <w:ind w:left="720" w:firstLine="720"/>
        <w:jc w:val="both"/>
        <w:rPr>
          <w:rFonts w:ascii="Arial" w:hAnsi="Arial" w:cs="Arial"/>
          <w:strike/>
          <w:sz w:val="20"/>
          <w:szCs w:val="20"/>
        </w:rPr>
      </w:pPr>
      <w:r w:rsidRPr="00DC7662">
        <w:rPr>
          <w:rFonts w:ascii="Arial" w:hAnsi="Arial" w:cs="Arial"/>
          <w:strike/>
          <w:sz w:val="20"/>
          <w:szCs w:val="20"/>
        </w:rPr>
        <w:t>for the purposes of (either or both):</w:t>
      </w:r>
    </w:p>
    <w:p w:rsidR="00205148" w:rsidRPr="00DC7662" w:rsidRDefault="00205148" w:rsidP="00D54666">
      <w:pPr>
        <w:autoSpaceDE w:val="0"/>
        <w:autoSpaceDN w:val="0"/>
        <w:adjustRightInd w:val="0"/>
        <w:spacing w:line="360" w:lineRule="auto"/>
        <w:ind w:left="1440"/>
        <w:jc w:val="both"/>
        <w:rPr>
          <w:rFonts w:ascii="Arial" w:hAnsi="Arial" w:cs="Arial"/>
          <w:strike/>
          <w:sz w:val="20"/>
          <w:szCs w:val="20"/>
        </w:rPr>
      </w:pPr>
      <w:r w:rsidRPr="00DC7662">
        <w:rPr>
          <w:rFonts w:ascii="Arial" w:hAnsi="Arial" w:cs="Arial"/>
          <w:strike/>
          <w:sz w:val="20"/>
          <w:szCs w:val="20"/>
        </w:rPr>
        <w:t>- Housing for persons referred to in Section 9 (2) of the Housing Act, 1988,</w:t>
      </w:r>
    </w:p>
    <w:p w:rsidR="00205148" w:rsidRDefault="00205148" w:rsidP="00D54666">
      <w:pPr>
        <w:autoSpaceDE w:val="0"/>
        <w:autoSpaceDN w:val="0"/>
        <w:adjustRightInd w:val="0"/>
        <w:spacing w:line="360" w:lineRule="auto"/>
        <w:ind w:left="1440"/>
        <w:jc w:val="both"/>
        <w:rPr>
          <w:rFonts w:ascii="Arial" w:hAnsi="Arial" w:cs="Arial"/>
          <w:strike/>
          <w:sz w:val="20"/>
          <w:szCs w:val="20"/>
          <w:lang w:val="en-IE"/>
        </w:rPr>
      </w:pPr>
      <w:r w:rsidRPr="005259A2">
        <w:rPr>
          <w:rFonts w:ascii="Arial" w:hAnsi="Arial" w:cs="Arial"/>
          <w:strike/>
          <w:sz w:val="20"/>
          <w:szCs w:val="20"/>
        </w:rPr>
        <w:t>- Affordable housing (as defined at Section 93 of the Planning and Development Act, 2000).</w:t>
      </w:r>
    </w:p>
    <w:p w:rsidR="00DC7662" w:rsidRDefault="00DC7662" w:rsidP="00D54666">
      <w:pPr>
        <w:autoSpaceDE w:val="0"/>
        <w:autoSpaceDN w:val="0"/>
        <w:adjustRightInd w:val="0"/>
        <w:spacing w:line="360" w:lineRule="auto"/>
        <w:ind w:left="1440"/>
        <w:jc w:val="both"/>
        <w:rPr>
          <w:rFonts w:ascii="Arial" w:hAnsi="Arial" w:cs="Arial"/>
          <w:strike/>
          <w:sz w:val="20"/>
          <w:szCs w:val="20"/>
          <w:lang w:val="en-IE"/>
        </w:rPr>
      </w:pPr>
    </w:p>
    <w:p w:rsidR="00DC7662" w:rsidRPr="002266C4" w:rsidRDefault="00DC7662" w:rsidP="002266C4">
      <w:pPr>
        <w:autoSpaceDE w:val="0"/>
        <w:autoSpaceDN w:val="0"/>
        <w:adjustRightInd w:val="0"/>
        <w:spacing w:line="360" w:lineRule="auto"/>
        <w:ind w:left="720"/>
        <w:jc w:val="both"/>
        <w:rPr>
          <w:rFonts w:ascii="Arial" w:hAnsi="Arial" w:cs="Arial"/>
          <w:color w:val="FF0000"/>
          <w:sz w:val="20"/>
          <w:szCs w:val="20"/>
          <w:lang w:val="en-IE"/>
        </w:rPr>
      </w:pPr>
      <w:r w:rsidRPr="00DC7662">
        <w:rPr>
          <w:rFonts w:ascii="Arial" w:hAnsi="Arial" w:cs="Arial"/>
          <w:color w:val="FF0000"/>
          <w:sz w:val="20"/>
          <w:szCs w:val="20"/>
        </w:rPr>
        <w:t>the provision of housing</w:t>
      </w:r>
      <w:r w:rsidR="002266C4">
        <w:rPr>
          <w:rFonts w:ascii="Arial" w:hAnsi="Arial" w:cs="Arial"/>
          <w:color w:val="FF0000"/>
          <w:sz w:val="20"/>
          <w:szCs w:val="20"/>
          <w:lang w:val="en-IE"/>
        </w:rPr>
        <w:t>,</w:t>
      </w:r>
      <w:r w:rsidRPr="00DC7662">
        <w:rPr>
          <w:rFonts w:ascii="Arial" w:hAnsi="Arial" w:cs="Arial"/>
          <w:color w:val="FF0000"/>
          <w:sz w:val="20"/>
          <w:szCs w:val="20"/>
        </w:rPr>
        <w:t xml:space="preserve"> </w:t>
      </w:r>
      <w:r w:rsidRPr="00DC7662">
        <w:rPr>
          <w:rFonts w:ascii="Arial" w:hAnsi="Arial" w:cs="Arial"/>
          <w:color w:val="FF0000"/>
          <w:sz w:val="20"/>
          <w:szCs w:val="20"/>
          <w:lang w:val="en-IE"/>
        </w:rPr>
        <w:t>in order to comply with the Planning and Development Act 2000</w:t>
      </w:r>
      <w:r>
        <w:rPr>
          <w:rFonts w:ascii="Arial" w:hAnsi="Arial" w:cs="Arial"/>
          <w:color w:val="FF0000"/>
          <w:sz w:val="20"/>
          <w:szCs w:val="20"/>
          <w:lang w:val="en-IE"/>
        </w:rPr>
        <w:t>,</w:t>
      </w:r>
      <w:r w:rsidRPr="00DC7662">
        <w:rPr>
          <w:rFonts w:ascii="Arial" w:hAnsi="Arial" w:cs="Arial"/>
          <w:color w:val="FF0000"/>
          <w:sz w:val="20"/>
          <w:szCs w:val="20"/>
          <w:lang w:val="en-IE"/>
        </w:rPr>
        <w:t xml:space="preserve"> as </w:t>
      </w:r>
      <w:r w:rsidR="002266C4">
        <w:rPr>
          <w:rFonts w:ascii="Arial" w:hAnsi="Arial" w:cs="Arial"/>
          <w:color w:val="FF0000"/>
          <w:sz w:val="20"/>
          <w:szCs w:val="20"/>
          <w:lang w:val="en-IE"/>
        </w:rPr>
        <w:t>a</w:t>
      </w:r>
      <w:r w:rsidR="002266C4" w:rsidRPr="00DC7662">
        <w:rPr>
          <w:rFonts w:ascii="Arial" w:hAnsi="Arial" w:cs="Arial"/>
          <w:color w:val="FF0000"/>
          <w:sz w:val="20"/>
          <w:szCs w:val="20"/>
          <w:lang w:val="en-IE"/>
        </w:rPr>
        <w:t>mended</w:t>
      </w:r>
      <w:r w:rsidRPr="00DC7662">
        <w:rPr>
          <w:rFonts w:ascii="Arial" w:hAnsi="Arial" w:cs="Arial"/>
          <w:color w:val="FF0000"/>
          <w:sz w:val="20"/>
          <w:szCs w:val="20"/>
          <w:lang w:val="en-IE"/>
        </w:rPr>
        <w:t xml:space="preserve"> and Urban Regeneration and Housing Act 2015.</w:t>
      </w:r>
    </w:p>
    <w:p w:rsidR="002266C4" w:rsidRDefault="00205148" w:rsidP="002266C4">
      <w:pPr>
        <w:autoSpaceDE w:val="0"/>
        <w:autoSpaceDN w:val="0"/>
        <w:adjustRightInd w:val="0"/>
        <w:spacing w:line="360" w:lineRule="auto"/>
        <w:ind w:left="720"/>
        <w:jc w:val="both"/>
        <w:rPr>
          <w:rFonts w:ascii="Arial" w:hAnsi="Arial" w:cs="Arial"/>
          <w:strike/>
          <w:sz w:val="20"/>
          <w:szCs w:val="20"/>
          <w:lang w:val="en-IE"/>
        </w:rPr>
      </w:pPr>
      <w:r w:rsidRPr="00DC7662">
        <w:rPr>
          <w:rFonts w:ascii="Arial" w:hAnsi="Arial" w:cs="Arial"/>
          <w:strike/>
          <w:sz w:val="20"/>
          <w:szCs w:val="20"/>
        </w:rPr>
        <w:t>This objective will apply to all applications for the development of more than</w:t>
      </w:r>
      <w:r w:rsidRPr="00DC7662">
        <w:rPr>
          <w:rFonts w:ascii="Arial" w:hAnsi="Arial" w:cs="Arial"/>
          <w:sz w:val="20"/>
          <w:szCs w:val="20"/>
        </w:rPr>
        <w:t xml:space="preserve"> 4</w:t>
      </w:r>
      <w:r w:rsidR="005259A2" w:rsidRPr="00DC7662">
        <w:rPr>
          <w:rFonts w:ascii="Arial" w:hAnsi="Arial" w:cs="Arial"/>
          <w:strike/>
          <w:sz w:val="20"/>
          <w:szCs w:val="20"/>
          <w:lang w:val="en-IE"/>
        </w:rPr>
        <w:t xml:space="preserve"> </w:t>
      </w:r>
      <w:r w:rsidRPr="00DC7662">
        <w:rPr>
          <w:rFonts w:ascii="Arial" w:hAnsi="Arial" w:cs="Arial"/>
          <w:strike/>
          <w:sz w:val="20"/>
          <w:szCs w:val="20"/>
        </w:rPr>
        <w:t>residential units or residential development on land of more than 0.1 hectares on lands zoned for residential use or for a mixture of residential and other uses.  This objective will be implemented following consultation with the applicant/developer and having regard to their proposals for meeting the requirements of the Strategy and by the attachment of conditions to planning permissions for residential developments on lands zoned for residential use or a mixture of residential development and other uses.</w:t>
      </w:r>
    </w:p>
    <w:p w:rsidR="002266C4" w:rsidRPr="006C54F6" w:rsidRDefault="002266C4" w:rsidP="006C54F6">
      <w:pPr>
        <w:autoSpaceDE w:val="0"/>
        <w:autoSpaceDN w:val="0"/>
        <w:adjustRightInd w:val="0"/>
        <w:spacing w:line="360" w:lineRule="auto"/>
        <w:ind w:left="720" w:hanging="720"/>
        <w:rPr>
          <w:rFonts w:ascii="Arial" w:hAnsi="Arial" w:cs="Arial"/>
          <w:strike/>
          <w:sz w:val="20"/>
          <w:szCs w:val="20"/>
          <w:lang w:val="en-IE"/>
        </w:rPr>
      </w:pPr>
      <w:r w:rsidRPr="002266C4">
        <w:rPr>
          <w:rFonts w:ascii="Arial" w:hAnsi="Arial" w:cs="Arial"/>
          <w:b/>
          <w:strike/>
          <w:sz w:val="20"/>
          <w:szCs w:val="20"/>
        </w:rPr>
        <w:t>HO13</w:t>
      </w:r>
      <w:r w:rsidRPr="002266C4">
        <w:rPr>
          <w:rFonts w:ascii="Arial" w:hAnsi="Arial" w:cs="Arial"/>
          <w:strike/>
          <w:sz w:val="20"/>
          <w:szCs w:val="20"/>
        </w:rPr>
        <w:tab/>
        <w:t>Ensure the development of social and affordable housing units is carried out</w:t>
      </w:r>
      <w:r>
        <w:rPr>
          <w:rFonts w:ascii="Arial" w:hAnsi="Arial" w:cs="Arial"/>
          <w:strike/>
          <w:sz w:val="20"/>
          <w:szCs w:val="20"/>
          <w:lang w:val="en-IE"/>
        </w:rPr>
        <w:t xml:space="preserve"> </w:t>
      </w:r>
      <w:r w:rsidRPr="002266C4">
        <w:rPr>
          <w:rFonts w:ascii="Arial" w:hAnsi="Arial" w:cs="Arial"/>
          <w:strike/>
          <w:sz w:val="20"/>
          <w:szCs w:val="20"/>
        </w:rPr>
        <w:t>in consultation with the applicant/developer.</w:t>
      </w:r>
      <w:r>
        <w:rPr>
          <w:rFonts w:ascii="Arial" w:hAnsi="Arial" w:cs="Arial"/>
          <w:strike/>
          <w:sz w:val="20"/>
          <w:szCs w:val="20"/>
          <w:lang w:val="en-IE"/>
        </w:rPr>
        <w:t xml:space="preserve"> </w:t>
      </w:r>
      <w:r w:rsidRPr="002266C4">
        <w:rPr>
          <w:rFonts w:ascii="Arial" w:hAnsi="Arial" w:cs="Arial"/>
          <w:strike/>
          <w:sz w:val="20"/>
          <w:szCs w:val="20"/>
        </w:rPr>
        <w:t xml:space="preserve">The Planning and Development (Amendment) Act, 2002 has </w:t>
      </w:r>
      <w:r w:rsidRPr="002266C4">
        <w:rPr>
          <w:rFonts w:ascii="Arial" w:hAnsi="Arial" w:cs="Arial"/>
          <w:strike/>
          <w:sz w:val="20"/>
          <w:szCs w:val="20"/>
        </w:rPr>
        <w:lastRenderedPageBreak/>
        <w:t>provided for a number of alternative options to satisfy the requirements to reserve lands under section 94 (4) (A) of the Planning and Development Act for social and affordable housing.  In considering these options it will be the preference of the Council, subject to agreement, to require developers to build units of accommodation and transfer them into the ownership of the Council, or persons nominated by the Council, at an agreed cost.   Where a financial contribution is accepted, this will be ring-fenced and used only by the Council in its functions under Part V and/or functions in the provision of</w:t>
      </w:r>
      <w:r>
        <w:rPr>
          <w:rFonts w:ascii="Arial" w:hAnsi="Arial" w:cs="Arial"/>
          <w:strike/>
          <w:sz w:val="20"/>
          <w:szCs w:val="20"/>
        </w:rPr>
        <w:t xml:space="preserve"> housing under the Housing Acts</w:t>
      </w:r>
      <w:r>
        <w:rPr>
          <w:rFonts w:ascii="Arial" w:hAnsi="Arial" w:cs="Arial"/>
          <w:strike/>
          <w:sz w:val="20"/>
          <w:szCs w:val="20"/>
          <w:lang w:val="en-IE"/>
        </w:rPr>
        <w:t xml:space="preserve">. </w:t>
      </w:r>
      <w:r w:rsidRPr="002266C4">
        <w:rPr>
          <w:rFonts w:ascii="Arial" w:hAnsi="Arial" w:cs="Arial"/>
          <w:strike/>
          <w:sz w:val="20"/>
          <w:szCs w:val="20"/>
        </w:rPr>
        <w:t>The transfer to the Planning Authority of the ownership of the land shall be the default option if no agreement is reached between the Council and the applicant/developer. In this instance the applicant/developer will be required to transfer the relevant percentage of the land, which is the subject of the application for permission, into the ownership of the Council for an agreed cost.</w:t>
      </w:r>
    </w:p>
    <w:p w:rsidR="00205148" w:rsidRPr="00156713" w:rsidRDefault="00B375B1" w:rsidP="00D54666">
      <w:pPr>
        <w:spacing w:line="360" w:lineRule="auto"/>
        <w:jc w:val="both"/>
        <w:rPr>
          <w:rFonts w:ascii="Arial" w:hAnsi="Arial" w:cs="Arial"/>
          <w:b/>
          <w:sz w:val="20"/>
          <w:szCs w:val="20"/>
          <w:lang w:val="en-IE"/>
        </w:rPr>
      </w:pPr>
      <w:r w:rsidRPr="00156713">
        <w:rPr>
          <w:rFonts w:ascii="Arial" w:hAnsi="Arial" w:cs="Arial"/>
          <w:b/>
          <w:sz w:val="20"/>
          <w:szCs w:val="20"/>
          <w:lang w:val="en-IE"/>
        </w:rPr>
        <w:t>Chapter 12</w:t>
      </w:r>
    </w:p>
    <w:p w:rsidR="00205148" w:rsidRPr="00156713" w:rsidRDefault="00B375B1" w:rsidP="00D54666">
      <w:pPr>
        <w:spacing w:line="360" w:lineRule="auto"/>
        <w:jc w:val="both"/>
        <w:rPr>
          <w:rFonts w:ascii="Arial" w:hAnsi="Arial" w:cs="Arial"/>
          <w:b/>
          <w:sz w:val="20"/>
          <w:szCs w:val="20"/>
          <w:lang w:val="en-IE"/>
        </w:rPr>
      </w:pPr>
      <w:r w:rsidRPr="00156713">
        <w:rPr>
          <w:rFonts w:ascii="Arial" w:hAnsi="Arial" w:cs="Arial"/>
          <w:b/>
          <w:sz w:val="20"/>
          <w:szCs w:val="20"/>
          <w:lang w:val="en-IE"/>
        </w:rPr>
        <w:t>12.2</w:t>
      </w:r>
      <w:r w:rsidR="00205148" w:rsidRPr="00156713">
        <w:rPr>
          <w:rFonts w:ascii="Arial" w:hAnsi="Arial" w:cs="Arial"/>
          <w:b/>
          <w:sz w:val="20"/>
          <w:szCs w:val="20"/>
          <w:lang w:val="en-IE"/>
        </w:rPr>
        <w:t xml:space="preserve"> Zoning Objectives </w:t>
      </w:r>
    </w:p>
    <w:p w:rsidR="00205148" w:rsidRPr="00156713" w:rsidRDefault="00B375B1" w:rsidP="00D54666">
      <w:pPr>
        <w:autoSpaceDE w:val="0"/>
        <w:autoSpaceDN w:val="0"/>
        <w:adjustRightInd w:val="0"/>
        <w:spacing w:line="360" w:lineRule="auto"/>
        <w:ind w:right="-360"/>
        <w:jc w:val="both"/>
        <w:outlineLvl w:val="2"/>
        <w:rPr>
          <w:rFonts w:ascii="Arial" w:hAnsi="Arial" w:cs="Arial"/>
          <w:b/>
          <w:sz w:val="20"/>
          <w:szCs w:val="20"/>
          <w:lang w:val="en-IE"/>
        </w:rPr>
      </w:pPr>
      <w:bookmarkStart w:id="0" w:name="_Toc306786423"/>
      <w:bookmarkStart w:id="1" w:name="_Toc306806268"/>
      <w:bookmarkStart w:id="2" w:name="_Toc362424853"/>
      <w:r w:rsidRPr="00156713">
        <w:rPr>
          <w:rStyle w:val="Headingtwo"/>
          <w:rFonts w:cs="Arial"/>
          <w:sz w:val="20"/>
          <w:szCs w:val="20"/>
        </w:rPr>
        <w:t xml:space="preserve"> </w:t>
      </w:r>
      <w:r w:rsidR="00205148" w:rsidRPr="00156713">
        <w:rPr>
          <w:rStyle w:val="Headingtwo"/>
          <w:rFonts w:cs="Arial"/>
          <w:sz w:val="20"/>
          <w:szCs w:val="20"/>
        </w:rPr>
        <w:t>Town C</w:t>
      </w:r>
      <w:bookmarkEnd w:id="0"/>
      <w:bookmarkEnd w:id="1"/>
      <w:bookmarkEnd w:id="2"/>
      <w:r w:rsidR="00ED4A50">
        <w:rPr>
          <w:rStyle w:val="Headingtwo"/>
          <w:rFonts w:cs="Arial"/>
          <w:sz w:val="20"/>
          <w:szCs w:val="20"/>
          <w:lang w:val="en-IE"/>
        </w:rPr>
        <w:t>ore</w:t>
      </w:r>
      <w:r w:rsidR="00205148" w:rsidRPr="00156713">
        <w:rPr>
          <w:rStyle w:val="Headingtwo"/>
          <w:rFonts w:cs="Arial"/>
          <w:sz w:val="20"/>
          <w:szCs w:val="20"/>
        </w:rPr>
        <w:t xml:space="preserve">  </w:t>
      </w:r>
      <w:r w:rsidRPr="00156713">
        <w:rPr>
          <w:rStyle w:val="Headingtwo"/>
          <w:rFonts w:cs="Arial"/>
          <w:sz w:val="20"/>
          <w:szCs w:val="20"/>
          <w:lang w:val="en-IE"/>
        </w:rPr>
        <w:t>Development</w:t>
      </w:r>
    </w:p>
    <w:p w:rsidR="00205148" w:rsidRPr="00156713" w:rsidRDefault="00B375B1" w:rsidP="00D54666">
      <w:pPr>
        <w:spacing w:line="360" w:lineRule="auto"/>
        <w:jc w:val="both"/>
        <w:rPr>
          <w:rFonts w:ascii="Arial" w:hAnsi="Arial" w:cs="Arial"/>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Establishes the extent of the town core and identifies the most suitable location for a mix of retail, commercial, residential, cultural and social uses.  The overall aim is to strengthen the vitality and viability of the town core by actively facilitating the reuse of existing buildings, as well as, brownfield and Greenfield sites.  The emphasis will be on high quality urban design which does not detract from the existing urban framework</w:t>
      </w:r>
      <w:r w:rsidR="00205148" w:rsidRPr="00156713">
        <w:rPr>
          <w:rFonts w:ascii="Arial" w:hAnsi="Arial" w:cs="Arial"/>
          <w:color w:val="FF0000"/>
          <w:sz w:val="20"/>
          <w:szCs w:val="20"/>
        </w:rPr>
        <w:t>.</w:t>
      </w:r>
      <w:r w:rsidR="00205148" w:rsidRPr="00156713">
        <w:rPr>
          <w:rFonts w:ascii="Arial" w:hAnsi="Arial" w:cs="Arial"/>
          <w:bCs/>
          <w:color w:val="FF0000"/>
          <w:sz w:val="20"/>
          <w:szCs w:val="20"/>
        </w:rPr>
        <w:t xml:space="preserve"> </w:t>
      </w:r>
      <w:r w:rsidRPr="00156713">
        <w:rPr>
          <w:rFonts w:ascii="Arial" w:hAnsi="Arial" w:cs="Arial"/>
          <w:bCs/>
          <w:color w:val="FF0000"/>
          <w:sz w:val="20"/>
          <w:szCs w:val="20"/>
          <w:lang w:val="en-IE"/>
        </w:rPr>
        <w:t xml:space="preserve">All </w:t>
      </w:r>
      <w:r w:rsidR="00ED4A50">
        <w:rPr>
          <w:rFonts w:ascii="Arial" w:hAnsi="Arial" w:cs="Arial"/>
          <w:bCs/>
          <w:color w:val="FF0000"/>
          <w:sz w:val="20"/>
          <w:szCs w:val="20"/>
          <w:lang w:val="en-IE"/>
        </w:rPr>
        <w:t>Town Core</w:t>
      </w:r>
      <w:r w:rsidR="00205148" w:rsidRPr="00156713">
        <w:rPr>
          <w:rFonts w:ascii="Arial" w:hAnsi="Arial" w:cs="Arial"/>
          <w:bCs/>
          <w:color w:val="FF0000"/>
          <w:sz w:val="20"/>
          <w:szCs w:val="20"/>
          <w:lang w:val="en-IE"/>
        </w:rPr>
        <w:t xml:space="preserve"> zoned lands within the plan is subject to the provisions of the Urban Regeneration and Housing Act 2015 with respect to the application of the Vacant Site Levy for regeneration and residential purposes</w:t>
      </w:r>
      <w:r w:rsidR="00ED4A50">
        <w:rPr>
          <w:rFonts w:ascii="Arial" w:hAnsi="Arial" w:cs="Arial"/>
          <w:bCs/>
          <w:color w:val="FF0000"/>
          <w:sz w:val="20"/>
          <w:szCs w:val="20"/>
          <w:lang w:val="en-IE"/>
        </w:rPr>
        <w:t xml:space="preserve"> where appropriate</w:t>
      </w:r>
      <w:r w:rsidR="00205148" w:rsidRPr="00156713">
        <w:rPr>
          <w:rFonts w:ascii="Arial" w:hAnsi="Arial" w:cs="Arial"/>
          <w:bCs/>
          <w:sz w:val="20"/>
          <w:szCs w:val="20"/>
          <w:lang w:val="en-IE"/>
        </w:rPr>
        <w:t xml:space="preserve">. </w:t>
      </w:r>
    </w:p>
    <w:p w:rsidR="00205148" w:rsidRPr="00156713" w:rsidRDefault="00205148" w:rsidP="00D54666">
      <w:pPr>
        <w:autoSpaceDE w:val="0"/>
        <w:autoSpaceDN w:val="0"/>
        <w:adjustRightInd w:val="0"/>
        <w:spacing w:line="360" w:lineRule="auto"/>
        <w:ind w:right="-360"/>
        <w:jc w:val="both"/>
        <w:outlineLvl w:val="2"/>
        <w:rPr>
          <w:rFonts w:ascii="Arial" w:hAnsi="Arial" w:cs="Arial"/>
          <w:b/>
          <w:sz w:val="20"/>
          <w:szCs w:val="20"/>
        </w:rPr>
      </w:pPr>
      <w:r w:rsidRPr="00156713">
        <w:rPr>
          <w:rStyle w:val="Headingtwo"/>
          <w:rFonts w:cs="Arial"/>
          <w:sz w:val="20"/>
          <w:szCs w:val="20"/>
        </w:rPr>
        <w:t xml:space="preserve">Existing Residential </w:t>
      </w:r>
    </w:p>
    <w:p w:rsidR="00205148" w:rsidRPr="00156713" w:rsidRDefault="00B375B1" w:rsidP="00D54666">
      <w:pPr>
        <w:spacing w:line="360" w:lineRule="auto"/>
        <w:jc w:val="both"/>
        <w:rPr>
          <w:rFonts w:ascii="Arial" w:hAnsi="Arial" w:cs="Arial"/>
          <w:sz w:val="20"/>
          <w:szCs w:val="20"/>
        </w:rPr>
      </w:pPr>
      <w:r w:rsidRPr="00156713">
        <w:rPr>
          <w:rFonts w:ascii="Arial" w:hAnsi="Arial" w:cs="Arial"/>
          <w:b/>
          <w:sz w:val="20"/>
          <w:szCs w:val="20"/>
        </w:rPr>
        <w:t xml:space="preserve">Objective:  </w:t>
      </w:r>
      <w:r w:rsidRPr="00156713">
        <w:rPr>
          <w:rFonts w:ascii="Arial" w:hAnsi="Arial" w:cs="Arial"/>
          <w:sz w:val="20"/>
          <w:szCs w:val="20"/>
        </w:rPr>
        <w:t>To promote the development of balanced communities and ensure that any new development in existing residential areas would have a minimal impact on existing residential amenity.  New housing and infill developments should be in keeping with the character of the area and existing buildings and shall not impact on the amenities of current or future residents. The design of new dwellings shall be of high quality with good layout design and adequate private and, where appropriate, public open space and an appropriate mix of house sizes, types and tenures</w:t>
      </w:r>
      <w:r w:rsidR="00205148" w:rsidRPr="00156713">
        <w:rPr>
          <w:rFonts w:ascii="Arial" w:hAnsi="Arial" w:cs="Arial"/>
          <w:sz w:val="20"/>
          <w:szCs w:val="20"/>
          <w:lang w:val="en-IE"/>
        </w:rPr>
        <w:t>.</w:t>
      </w:r>
      <w:r w:rsidRPr="00156713">
        <w:rPr>
          <w:rFonts w:ascii="Arial" w:hAnsi="Arial" w:cs="Arial"/>
          <w:bCs/>
          <w:color w:val="FF0000"/>
          <w:sz w:val="20"/>
          <w:szCs w:val="20"/>
          <w:lang w:val="en-IE"/>
        </w:rPr>
        <w:t xml:space="preserve"> All</w:t>
      </w:r>
      <w:r w:rsidR="00205148" w:rsidRPr="00156713">
        <w:rPr>
          <w:rFonts w:ascii="Arial" w:hAnsi="Arial" w:cs="Arial"/>
          <w:bCs/>
          <w:color w:val="FF0000"/>
          <w:sz w:val="20"/>
          <w:szCs w:val="20"/>
          <w:lang w:val="en-IE"/>
        </w:rPr>
        <w:t xml:space="preserve"> Existing </w:t>
      </w:r>
      <w:r w:rsidR="00AA468F" w:rsidRPr="00156713">
        <w:rPr>
          <w:rFonts w:ascii="Arial" w:hAnsi="Arial" w:cs="Arial"/>
          <w:bCs/>
          <w:color w:val="FF0000"/>
          <w:sz w:val="20"/>
          <w:szCs w:val="20"/>
          <w:lang w:val="en-IE"/>
        </w:rPr>
        <w:t>Residential zoned</w:t>
      </w:r>
      <w:r w:rsidR="00205148" w:rsidRPr="00156713">
        <w:rPr>
          <w:rFonts w:ascii="Arial" w:hAnsi="Arial" w:cs="Arial"/>
          <w:bCs/>
          <w:color w:val="FF0000"/>
          <w:sz w:val="20"/>
          <w:szCs w:val="20"/>
          <w:lang w:val="en-IE"/>
        </w:rPr>
        <w:t xml:space="preserve"> lands within the plan is subject to the provisions of the Urban Regeneration and Housing Act 2015 with respect to the application of the Vacant Site Levy for residential purposes</w:t>
      </w:r>
      <w:r w:rsidR="00ED4A50">
        <w:rPr>
          <w:rFonts w:ascii="Arial" w:hAnsi="Arial" w:cs="Arial"/>
          <w:bCs/>
          <w:color w:val="FF0000"/>
          <w:sz w:val="20"/>
          <w:szCs w:val="20"/>
          <w:lang w:val="en-IE"/>
        </w:rPr>
        <w:t xml:space="preserve"> where appropriate</w:t>
      </w:r>
      <w:r w:rsidR="00205148" w:rsidRPr="00156713">
        <w:rPr>
          <w:rFonts w:ascii="Arial" w:hAnsi="Arial" w:cs="Arial"/>
          <w:bCs/>
          <w:sz w:val="20"/>
          <w:szCs w:val="20"/>
          <w:lang w:val="en-IE"/>
        </w:rPr>
        <w:t>.</w:t>
      </w:r>
    </w:p>
    <w:p w:rsidR="00ED4A50" w:rsidRDefault="00ED4A50" w:rsidP="00D54666">
      <w:pPr>
        <w:spacing w:line="360" w:lineRule="auto"/>
        <w:jc w:val="both"/>
        <w:rPr>
          <w:rFonts w:ascii="Arial" w:hAnsi="Arial" w:cs="Arial"/>
          <w:b/>
          <w:sz w:val="20"/>
          <w:szCs w:val="20"/>
          <w:lang w:val="en-IE"/>
        </w:rPr>
      </w:pPr>
    </w:p>
    <w:p w:rsidR="006C54F6" w:rsidRDefault="006C54F6" w:rsidP="00D54666">
      <w:pPr>
        <w:spacing w:line="360" w:lineRule="auto"/>
        <w:jc w:val="both"/>
        <w:rPr>
          <w:rFonts w:ascii="Arial" w:hAnsi="Arial" w:cs="Arial"/>
          <w:b/>
          <w:sz w:val="20"/>
          <w:szCs w:val="20"/>
          <w:lang w:val="en-IE"/>
        </w:rPr>
      </w:pPr>
    </w:p>
    <w:p w:rsidR="006C54F6" w:rsidRDefault="006C54F6" w:rsidP="00D54666">
      <w:pPr>
        <w:spacing w:line="360" w:lineRule="auto"/>
        <w:jc w:val="both"/>
        <w:rPr>
          <w:rFonts w:ascii="Arial" w:hAnsi="Arial" w:cs="Arial"/>
          <w:b/>
          <w:sz w:val="20"/>
          <w:szCs w:val="20"/>
          <w:lang w:val="en-IE"/>
        </w:rPr>
      </w:pPr>
    </w:p>
    <w:p w:rsidR="00B375B1" w:rsidRPr="00156713" w:rsidRDefault="00B375B1" w:rsidP="00D54666">
      <w:pPr>
        <w:spacing w:line="360" w:lineRule="auto"/>
        <w:jc w:val="both"/>
        <w:rPr>
          <w:rFonts w:ascii="Arial" w:hAnsi="Arial" w:cs="Arial"/>
          <w:b/>
          <w:sz w:val="20"/>
          <w:szCs w:val="20"/>
        </w:rPr>
      </w:pPr>
      <w:r w:rsidRPr="00156713">
        <w:rPr>
          <w:rFonts w:ascii="Arial" w:hAnsi="Arial" w:cs="Arial"/>
          <w:b/>
          <w:sz w:val="20"/>
          <w:szCs w:val="20"/>
        </w:rPr>
        <w:lastRenderedPageBreak/>
        <w:t>Proposed Residential</w:t>
      </w:r>
    </w:p>
    <w:p w:rsidR="00156713" w:rsidRPr="00ED4A50" w:rsidRDefault="00B375B1" w:rsidP="00D54666">
      <w:pPr>
        <w:spacing w:line="360" w:lineRule="auto"/>
        <w:jc w:val="both"/>
        <w:rPr>
          <w:rFonts w:ascii="Arial" w:hAnsi="Arial" w:cs="Arial"/>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To provide for residential development and to protect and improve residential amenity. New housing and infill developments should be of sensitive design which is complimentary to their surroundings. Residential development shall ensure the provision of high quality new residential environments with good layout design and adequate private and public open space and also provide an appropriate mix of house sizes, types and tenures. No piecemeal development can take place unless it does not conflict with the possible future development of towns.</w:t>
      </w:r>
      <w:r w:rsidR="00136494" w:rsidRPr="00156713">
        <w:rPr>
          <w:rFonts w:ascii="Arial" w:hAnsi="Arial" w:cs="Arial"/>
          <w:sz w:val="20"/>
          <w:szCs w:val="20"/>
          <w:lang w:val="en-IE"/>
        </w:rPr>
        <w:t xml:space="preserve"> </w:t>
      </w:r>
      <w:r w:rsidR="00136494" w:rsidRPr="00156713">
        <w:rPr>
          <w:rFonts w:ascii="Arial" w:hAnsi="Arial" w:cs="Arial"/>
          <w:bCs/>
          <w:color w:val="FF0000"/>
          <w:sz w:val="20"/>
          <w:szCs w:val="20"/>
          <w:lang w:val="en-IE"/>
        </w:rPr>
        <w:t>All</w:t>
      </w:r>
      <w:r w:rsidR="00ED4A50">
        <w:rPr>
          <w:rFonts w:ascii="Arial" w:hAnsi="Arial" w:cs="Arial"/>
          <w:bCs/>
          <w:color w:val="FF0000"/>
          <w:sz w:val="20"/>
          <w:szCs w:val="20"/>
          <w:lang w:val="en-IE"/>
        </w:rPr>
        <w:t xml:space="preserve"> Proposed</w:t>
      </w:r>
      <w:r w:rsidR="00136494" w:rsidRPr="00156713">
        <w:rPr>
          <w:rFonts w:ascii="Arial" w:hAnsi="Arial" w:cs="Arial"/>
          <w:bCs/>
          <w:color w:val="FF0000"/>
          <w:sz w:val="20"/>
          <w:szCs w:val="20"/>
          <w:lang w:val="en-IE"/>
        </w:rPr>
        <w:t xml:space="preserve"> Residential zoned lands within the plan is subject to the provisions of the Urban Regeneration and Housing Act 2015 with respect to the application of the Vacant Site Levy for residential purposes</w:t>
      </w:r>
      <w:r w:rsidR="00ED4A50">
        <w:rPr>
          <w:rFonts w:ascii="Arial" w:hAnsi="Arial" w:cs="Arial"/>
          <w:bCs/>
          <w:color w:val="FF0000"/>
          <w:sz w:val="20"/>
          <w:szCs w:val="20"/>
          <w:lang w:val="en-IE"/>
        </w:rPr>
        <w:t xml:space="preserve"> where appropriate</w:t>
      </w:r>
      <w:r w:rsidR="00136494" w:rsidRPr="00156713">
        <w:rPr>
          <w:rFonts w:ascii="Arial" w:hAnsi="Arial" w:cs="Arial"/>
          <w:bCs/>
          <w:sz w:val="20"/>
          <w:szCs w:val="20"/>
          <w:lang w:val="en-IE"/>
        </w:rPr>
        <w:t>.</w:t>
      </w:r>
    </w:p>
    <w:p w:rsidR="00B836F4" w:rsidRPr="00156713" w:rsidRDefault="00B836F4" w:rsidP="00D54666">
      <w:pPr>
        <w:spacing w:line="360" w:lineRule="auto"/>
        <w:jc w:val="both"/>
        <w:rPr>
          <w:rFonts w:ascii="Arial" w:hAnsi="Arial" w:cs="Arial"/>
          <w:b/>
          <w:sz w:val="20"/>
          <w:szCs w:val="20"/>
        </w:rPr>
      </w:pPr>
      <w:r w:rsidRPr="00156713">
        <w:rPr>
          <w:rFonts w:ascii="Arial" w:hAnsi="Arial" w:cs="Arial"/>
          <w:b/>
          <w:sz w:val="20"/>
          <w:szCs w:val="20"/>
        </w:rPr>
        <w:t>Proposed Residential, Mixed Use and Other Uses</w:t>
      </w:r>
    </w:p>
    <w:p w:rsidR="00B836F4" w:rsidRPr="00156713" w:rsidRDefault="00B836F4" w:rsidP="00D54666">
      <w:pPr>
        <w:spacing w:line="360" w:lineRule="auto"/>
        <w:jc w:val="both"/>
        <w:rPr>
          <w:rFonts w:ascii="Arial" w:hAnsi="Arial" w:cs="Arial"/>
          <w:sz w:val="20"/>
          <w:szCs w:val="20"/>
        </w:rPr>
      </w:pPr>
      <w:r w:rsidRPr="00156713">
        <w:rPr>
          <w:rFonts w:ascii="Arial" w:hAnsi="Arial" w:cs="Arial"/>
          <w:b/>
          <w:sz w:val="20"/>
          <w:szCs w:val="20"/>
        </w:rPr>
        <w:t xml:space="preserve">Objective: </w:t>
      </w:r>
      <w:r w:rsidRPr="00156713">
        <w:rPr>
          <w:rFonts w:ascii="Arial" w:hAnsi="Arial" w:cs="Arial"/>
          <w:sz w:val="20"/>
          <w:szCs w:val="20"/>
        </w:rPr>
        <w:t>This zone has been identified in Virginia town and is to provide for a mix of residential development and other uses which would allow for both an expansion of the residential, employment and economic development of the town without detracting from the town core. This is a strategically located site which is mainly undeveloped. It is environmentally sensitive being located in close proximity to Lough Ramor, all proposals must consider potential impacts on this lake. A buffer zone around the lake is provide but shall not be used as part of any allocation of open space and shall be developed as amenity space. An overall Masterplan shall be submitted to the Planning Authority for approval prior to the submission of any planning application. Residential development shall ensure the provision of high quality new residential environments with good layout design and adequate private and public open space and also provide an appropriate mix of house sizes, types and tenures. No piecemeal development can take place unless it does not conflict with the possible future development of the town.</w:t>
      </w:r>
      <w:r w:rsidRPr="00156713">
        <w:rPr>
          <w:rFonts w:ascii="Arial" w:hAnsi="Arial" w:cs="Arial"/>
          <w:sz w:val="20"/>
          <w:szCs w:val="20"/>
          <w:lang w:val="en-IE"/>
        </w:rPr>
        <w:t xml:space="preserve"> </w:t>
      </w:r>
      <w:r w:rsidRPr="00156713">
        <w:rPr>
          <w:rFonts w:ascii="Arial" w:hAnsi="Arial" w:cs="Arial"/>
          <w:bCs/>
          <w:color w:val="FF0000"/>
          <w:sz w:val="20"/>
          <w:szCs w:val="20"/>
          <w:lang w:val="en-IE"/>
        </w:rPr>
        <w:t xml:space="preserve">All </w:t>
      </w:r>
      <w:r w:rsidR="00ED4A50">
        <w:rPr>
          <w:rFonts w:ascii="Arial" w:hAnsi="Arial" w:cs="Arial"/>
          <w:bCs/>
          <w:color w:val="FF0000"/>
          <w:sz w:val="20"/>
          <w:szCs w:val="20"/>
          <w:lang w:val="en-IE"/>
        </w:rPr>
        <w:t xml:space="preserve">Proposed </w:t>
      </w:r>
      <w:r w:rsidRPr="00156713">
        <w:rPr>
          <w:rFonts w:ascii="Arial" w:hAnsi="Arial" w:cs="Arial"/>
          <w:bCs/>
          <w:color w:val="FF0000"/>
          <w:sz w:val="20"/>
          <w:szCs w:val="20"/>
          <w:lang w:val="en-IE"/>
        </w:rPr>
        <w:t>Residential, Mixed Use and Other Uses zoned lands within the plan is subject to the provisions of the Urban Regeneration and Housing Act 2015 with respect to the application of the Vacant Site Levy for regeneration and residential purposes</w:t>
      </w:r>
      <w:r w:rsidR="00ED4A50">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B836F4" w:rsidRPr="00156713" w:rsidRDefault="00B836F4" w:rsidP="00D54666">
      <w:pPr>
        <w:spacing w:line="360" w:lineRule="auto"/>
        <w:jc w:val="both"/>
        <w:rPr>
          <w:rFonts w:ascii="Arial" w:hAnsi="Arial" w:cs="Arial"/>
          <w:b/>
          <w:sz w:val="20"/>
          <w:szCs w:val="20"/>
        </w:rPr>
      </w:pPr>
      <w:bookmarkStart w:id="3" w:name="_Toc212451981"/>
      <w:bookmarkStart w:id="4" w:name="_Toc362952946"/>
      <w:r w:rsidRPr="00156713">
        <w:rPr>
          <w:rFonts w:ascii="Arial" w:hAnsi="Arial" w:cs="Arial"/>
          <w:b/>
          <w:sz w:val="20"/>
          <w:szCs w:val="20"/>
        </w:rPr>
        <w:t>Industry, Enterprise and Employment</w:t>
      </w:r>
      <w:bookmarkEnd w:id="3"/>
      <w:bookmarkEnd w:id="4"/>
    </w:p>
    <w:p w:rsidR="00B836F4" w:rsidRPr="00CA33BC" w:rsidRDefault="00B836F4" w:rsidP="00D54666">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Identifies areas developed and suitable to be developed for industrial, enterprise and employment use, including all compatible activities and operations.  Inappropriate mix of uses will not be encouraged, such as office based industry and retailing.</w:t>
      </w:r>
      <w:r w:rsidRPr="00156713">
        <w:rPr>
          <w:rFonts w:ascii="Arial" w:hAnsi="Arial" w:cs="Arial"/>
          <w:b/>
          <w:sz w:val="20"/>
          <w:szCs w:val="20"/>
        </w:rPr>
        <w:t xml:space="preserve"> </w:t>
      </w:r>
      <w:r w:rsidRPr="00156713">
        <w:rPr>
          <w:rFonts w:ascii="Arial" w:hAnsi="Arial" w:cs="Arial"/>
          <w:bCs/>
          <w:color w:val="FF0000"/>
          <w:sz w:val="20"/>
          <w:szCs w:val="20"/>
          <w:lang w:val="en-IE"/>
        </w:rPr>
        <w:t>All Industry, Enterprise and Employment zoned lands within the plan is subject to the provisions of the Urban Regeneration and Housing Act 2015 with respect to the application of the Vacant Site Levy for regeneration purposes</w:t>
      </w:r>
      <w:r w:rsidR="00610C12">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6C54F6" w:rsidRDefault="006C54F6" w:rsidP="00D54666">
      <w:pPr>
        <w:spacing w:line="360" w:lineRule="auto"/>
        <w:jc w:val="both"/>
        <w:rPr>
          <w:rFonts w:ascii="Arial" w:hAnsi="Arial" w:cs="Arial"/>
          <w:b/>
          <w:sz w:val="20"/>
          <w:szCs w:val="20"/>
          <w:lang w:val="en-IE"/>
        </w:rPr>
      </w:pPr>
    </w:p>
    <w:p w:rsidR="006C54F6" w:rsidRDefault="006C54F6" w:rsidP="00D54666">
      <w:pPr>
        <w:spacing w:line="360" w:lineRule="auto"/>
        <w:jc w:val="both"/>
        <w:rPr>
          <w:rFonts w:ascii="Arial" w:hAnsi="Arial" w:cs="Arial"/>
          <w:b/>
          <w:sz w:val="20"/>
          <w:szCs w:val="20"/>
          <w:lang w:val="en-IE"/>
        </w:rPr>
      </w:pPr>
    </w:p>
    <w:p w:rsidR="006C54F6" w:rsidRDefault="006C54F6" w:rsidP="00D54666">
      <w:pPr>
        <w:spacing w:line="360" w:lineRule="auto"/>
        <w:jc w:val="both"/>
        <w:rPr>
          <w:rFonts w:ascii="Arial" w:hAnsi="Arial" w:cs="Arial"/>
          <w:b/>
          <w:sz w:val="20"/>
          <w:szCs w:val="20"/>
          <w:lang w:val="en-IE"/>
        </w:rPr>
      </w:pPr>
    </w:p>
    <w:p w:rsidR="006C54F6" w:rsidRDefault="006C54F6" w:rsidP="00D54666">
      <w:pPr>
        <w:spacing w:line="360" w:lineRule="auto"/>
        <w:jc w:val="both"/>
        <w:rPr>
          <w:rFonts w:ascii="Arial" w:hAnsi="Arial" w:cs="Arial"/>
          <w:b/>
          <w:sz w:val="20"/>
          <w:szCs w:val="20"/>
          <w:lang w:val="en-IE"/>
        </w:rPr>
      </w:pPr>
    </w:p>
    <w:p w:rsidR="00B836F4" w:rsidRPr="00156713" w:rsidRDefault="00B836F4" w:rsidP="00D54666">
      <w:pPr>
        <w:spacing w:line="360" w:lineRule="auto"/>
        <w:jc w:val="both"/>
        <w:rPr>
          <w:rFonts w:ascii="Arial" w:hAnsi="Arial" w:cs="Arial"/>
          <w:b/>
          <w:sz w:val="20"/>
          <w:szCs w:val="20"/>
        </w:rPr>
      </w:pPr>
      <w:r w:rsidRPr="00156713">
        <w:rPr>
          <w:rFonts w:ascii="Arial" w:hAnsi="Arial" w:cs="Arial"/>
          <w:b/>
          <w:sz w:val="20"/>
          <w:szCs w:val="20"/>
        </w:rPr>
        <w:t>Existing Retail</w:t>
      </w:r>
    </w:p>
    <w:p w:rsidR="00B836F4" w:rsidRPr="00610C12" w:rsidRDefault="00B836F4" w:rsidP="00D54666">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 xml:space="preserve">Identifies areas outside of town cores that have been developed as retail use.The development of any additional retail or the division of existing retail units into smaller units shall not be permitted. Proposals for any change of use shall include an assessment of impacts on town cores. </w:t>
      </w:r>
      <w:r w:rsidRPr="00156713">
        <w:rPr>
          <w:rFonts w:ascii="Arial" w:hAnsi="Arial" w:cs="Arial"/>
          <w:bCs/>
          <w:color w:val="FF0000"/>
          <w:sz w:val="20"/>
          <w:szCs w:val="20"/>
          <w:lang w:val="en-IE"/>
        </w:rPr>
        <w:t>All Existing Retail zoned lands within the plan is subject to the provisions of the Urban Regeneration and Housing Act 2015 with respect to the application of the Vacant Site Levy for regeneration purposes</w:t>
      </w:r>
      <w:r w:rsidR="00610C12">
        <w:rPr>
          <w:rFonts w:ascii="Arial" w:hAnsi="Arial" w:cs="Arial"/>
          <w:bCs/>
          <w:color w:val="FF0000"/>
          <w:sz w:val="20"/>
          <w:szCs w:val="20"/>
          <w:lang w:val="en-IE"/>
        </w:rPr>
        <w:t xml:space="preserve"> where appropriate</w:t>
      </w:r>
      <w:r w:rsidR="00610C12" w:rsidRPr="00156713">
        <w:rPr>
          <w:rFonts w:ascii="Arial" w:hAnsi="Arial" w:cs="Arial"/>
          <w:bCs/>
          <w:sz w:val="20"/>
          <w:szCs w:val="20"/>
          <w:lang w:val="en-IE"/>
        </w:rPr>
        <w:t>.</w:t>
      </w:r>
    </w:p>
    <w:p w:rsidR="00B836F4" w:rsidRPr="00156713" w:rsidRDefault="00B836F4" w:rsidP="00D54666">
      <w:pPr>
        <w:spacing w:line="360" w:lineRule="auto"/>
        <w:jc w:val="both"/>
        <w:rPr>
          <w:rFonts w:ascii="Arial" w:hAnsi="Arial" w:cs="Arial"/>
          <w:b/>
          <w:sz w:val="20"/>
          <w:szCs w:val="20"/>
        </w:rPr>
      </w:pPr>
      <w:r w:rsidRPr="00156713">
        <w:rPr>
          <w:rFonts w:ascii="Arial" w:hAnsi="Arial" w:cs="Arial"/>
          <w:b/>
          <w:sz w:val="20"/>
          <w:szCs w:val="20"/>
        </w:rPr>
        <w:t>Commercial</w:t>
      </w:r>
    </w:p>
    <w:p w:rsidR="00610C12" w:rsidRPr="00CA33BC" w:rsidRDefault="00B836F4" w:rsidP="00610C12">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 xml:space="preserve">Identifies areas developed and suitable for commercial development such as hotel, community, car parking, tourism and recreation. These are out of town core sites and so are not suitable for retail or town core commercial uses. </w:t>
      </w:r>
      <w:r w:rsidRPr="00156713">
        <w:rPr>
          <w:rFonts w:ascii="Arial" w:hAnsi="Arial" w:cs="Arial"/>
          <w:sz w:val="20"/>
          <w:szCs w:val="20"/>
          <w:lang w:val="en-IE"/>
        </w:rPr>
        <w:t xml:space="preserve"> </w:t>
      </w:r>
      <w:r w:rsidRPr="00156713">
        <w:rPr>
          <w:rFonts w:ascii="Arial" w:hAnsi="Arial" w:cs="Arial"/>
          <w:bCs/>
          <w:color w:val="FF0000"/>
          <w:sz w:val="20"/>
          <w:szCs w:val="20"/>
          <w:lang w:val="en-IE"/>
        </w:rPr>
        <w:t xml:space="preserve">All Commercial zoned lands within the plan </w:t>
      </w:r>
      <w:proofErr w:type="gramStart"/>
      <w:r w:rsidRPr="00156713">
        <w:rPr>
          <w:rFonts w:ascii="Arial" w:hAnsi="Arial" w:cs="Arial"/>
          <w:bCs/>
          <w:color w:val="FF0000"/>
          <w:sz w:val="20"/>
          <w:szCs w:val="20"/>
          <w:lang w:val="en-IE"/>
        </w:rPr>
        <w:t>is</w:t>
      </w:r>
      <w:proofErr w:type="gramEnd"/>
      <w:r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sidR="00610C12" w:rsidRPr="00610C12">
        <w:rPr>
          <w:rFonts w:ascii="Arial" w:hAnsi="Arial" w:cs="Arial"/>
          <w:bCs/>
          <w:color w:val="FF0000"/>
          <w:sz w:val="20"/>
          <w:szCs w:val="20"/>
          <w:lang w:val="en-IE"/>
        </w:rPr>
        <w:t xml:space="preserve"> </w:t>
      </w:r>
      <w:r w:rsidR="00610C12">
        <w:rPr>
          <w:rFonts w:ascii="Arial" w:hAnsi="Arial" w:cs="Arial"/>
          <w:bCs/>
          <w:color w:val="FF0000"/>
          <w:sz w:val="20"/>
          <w:szCs w:val="20"/>
          <w:lang w:val="en-IE"/>
        </w:rPr>
        <w:t>where appropriate</w:t>
      </w:r>
      <w:r w:rsidR="00610C12" w:rsidRPr="00156713">
        <w:rPr>
          <w:rFonts w:ascii="Arial" w:hAnsi="Arial" w:cs="Arial"/>
          <w:bCs/>
          <w:sz w:val="20"/>
          <w:szCs w:val="20"/>
          <w:lang w:val="en-IE"/>
        </w:rPr>
        <w:t>.</w:t>
      </w:r>
    </w:p>
    <w:p w:rsidR="00156713" w:rsidRPr="006C54F6" w:rsidRDefault="00156713" w:rsidP="006C54F6">
      <w:pPr>
        <w:spacing w:line="360" w:lineRule="auto"/>
        <w:jc w:val="both"/>
        <w:rPr>
          <w:rFonts w:ascii="Arial" w:hAnsi="Arial" w:cs="Arial"/>
          <w:b/>
          <w:sz w:val="20"/>
          <w:szCs w:val="20"/>
          <w:lang w:val="en-IE"/>
        </w:rPr>
      </w:pPr>
    </w:p>
    <w:p w:rsidR="00205148" w:rsidRPr="00156713" w:rsidRDefault="00D54666" w:rsidP="00D54666">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Appendix 6</w:t>
      </w:r>
    </w:p>
    <w:p w:rsidR="00205148" w:rsidRPr="00156713" w:rsidRDefault="00205148" w:rsidP="00D54666">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 xml:space="preserve">Housing Strategy </w:t>
      </w:r>
    </w:p>
    <w:p w:rsidR="00205148" w:rsidRPr="00156713" w:rsidRDefault="00205148" w:rsidP="00D54666">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Section 4</w:t>
      </w:r>
    </w:p>
    <w:p w:rsidR="00205148" w:rsidRPr="00156713" w:rsidRDefault="00205148" w:rsidP="00D54666">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 xml:space="preserve">Recommendations </w:t>
      </w:r>
    </w:p>
    <w:p w:rsidR="00205148" w:rsidRPr="00156713" w:rsidRDefault="00205148" w:rsidP="00D54666">
      <w:pPr>
        <w:autoSpaceDE w:val="0"/>
        <w:autoSpaceDN w:val="0"/>
        <w:adjustRightInd w:val="0"/>
        <w:spacing w:line="360" w:lineRule="auto"/>
        <w:ind w:left="720" w:hanging="720"/>
        <w:jc w:val="both"/>
        <w:rPr>
          <w:rFonts w:ascii="Arial" w:hAnsi="Arial" w:cs="Arial"/>
          <w:sz w:val="20"/>
          <w:szCs w:val="20"/>
        </w:rPr>
      </w:pPr>
      <w:r w:rsidRPr="00156713">
        <w:rPr>
          <w:rFonts w:ascii="Arial" w:hAnsi="Arial" w:cs="Arial"/>
          <w:sz w:val="20"/>
          <w:szCs w:val="20"/>
          <w:lang w:val="en-IE"/>
        </w:rPr>
        <w:t>4.</w:t>
      </w:r>
      <w:r w:rsidRPr="00156713">
        <w:rPr>
          <w:rFonts w:ascii="Arial" w:hAnsi="Arial" w:cs="Arial"/>
          <w:sz w:val="20"/>
          <w:szCs w:val="20"/>
          <w:lang w:val="en-IE"/>
        </w:rPr>
        <w:tab/>
      </w:r>
      <w:r w:rsidRPr="00156713">
        <w:rPr>
          <w:rFonts w:ascii="Arial" w:hAnsi="Arial" w:cs="Arial"/>
          <w:sz w:val="20"/>
          <w:szCs w:val="20"/>
        </w:rPr>
        <w:t xml:space="preserve"> </w:t>
      </w:r>
      <w:r w:rsidRPr="00156713">
        <w:rPr>
          <w:rFonts w:ascii="Arial" w:hAnsi="Arial" w:cs="Arial"/>
          <w:strike/>
          <w:sz w:val="20"/>
          <w:szCs w:val="20"/>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10%</w:t>
      </w:r>
      <w:r w:rsidRPr="00156713">
        <w:rPr>
          <w:rFonts w:ascii="Arial" w:hAnsi="Arial" w:cs="Arial"/>
          <w:sz w:val="20"/>
          <w:szCs w:val="20"/>
        </w:rPr>
        <w:t xml:space="preserve"> of land</w:t>
      </w:r>
      <w:r w:rsidRPr="00156713">
        <w:rPr>
          <w:rFonts w:ascii="Arial" w:hAnsi="Arial" w:cs="Arial"/>
          <w:sz w:val="20"/>
          <w:szCs w:val="20"/>
          <w:lang w:val="en-IE"/>
        </w:rPr>
        <w:t>, that is</w:t>
      </w:r>
      <w:r w:rsidRPr="00156713">
        <w:rPr>
          <w:rFonts w:ascii="Arial" w:hAnsi="Arial" w:cs="Arial"/>
          <w:sz w:val="20"/>
          <w:szCs w:val="20"/>
        </w:rPr>
        <w:t xml:space="preserve"> zoned for residential use or a mix of residential and other uses shall be reserved for the provision of housing for the purposes of </w:t>
      </w:r>
    </w:p>
    <w:p w:rsidR="00205148" w:rsidRPr="002266C4" w:rsidRDefault="00205148" w:rsidP="00D54666">
      <w:pPr>
        <w:autoSpaceDE w:val="0"/>
        <w:autoSpaceDN w:val="0"/>
        <w:adjustRightInd w:val="0"/>
        <w:spacing w:line="360" w:lineRule="auto"/>
        <w:ind w:left="1440"/>
        <w:jc w:val="both"/>
        <w:rPr>
          <w:rFonts w:ascii="Arial" w:hAnsi="Arial" w:cs="Arial"/>
          <w:strike/>
          <w:sz w:val="20"/>
          <w:szCs w:val="20"/>
        </w:rPr>
      </w:pPr>
      <w:r w:rsidRPr="002266C4">
        <w:rPr>
          <w:rFonts w:ascii="Arial" w:hAnsi="Arial" w:cs="Arial"/>
          <w:strike/>
          <w:sz w:val="20"/>
          <w:szCs w:val="20"/>
        </w:rPr>
        <w:t>- Housing for persons referred to in Section 9 (2) of the Housing Act, 1988,</w:t>
      </w:r>
    </w:p>
    <w:p w:rsidR="00205148" w:rsidRPr="002266C4" w:rsidRDefault="00205148" w:rsidP="00D54666">
      <w:pPr>
        <w:autoSpaceDE w:val="0"/>
        <w:autoSpaceDN w:val="0"/>
        <w:adjustRightInd w:val="0"/>
        <w:spacing w:line="360" w:lineRule="auto"/>
        <w:ind w:left="1440"/>
        <w:jc w:val="both"/>
        <w:rPr>
          <w:rFonts w:ascii="Arial" w:hAnsi="Arial" w:cs="Arial"/>
          <w:b/>
          <w:strike/>
          <w:color w:val="FF0000"/>
          <w:sz w:val="20"/>
          <w:szCs w:val="20"/>
        </w:rPr>
      </w:pPr>
      <w:r w:rsidRPr="00CA33BC">
        <w:rPr>
          <w:rFonts w:ascii="Arial" w:hAnsi="Arial" w:cs="Arial"/>
          <w:strike/>
          <w:sz w:val="20"/>
          <w:szCs w:val="20"/>
        </w:rPr>
        <w:t xml:space="preserve">- Affordable housing (as defined at Section 93 of the Planning and Development Act, </w:t>
      </w:r>
      <w:r w:rsidRPr="002266C4">
        <w:rPr>
          <w:rFonts w:ascii="Arial" w:hAnsi="Arial" w:cs="Arial"/>
          <w:b/>
          <w:strike/>
          <w:sz w:val="20"/>
          <w:szCs w:val="20"/>
        </w:rPr>
        <w:t>2000).</w:t>
      </w:r>
    </w:p>
    <w:p w:rsidR="00205148" w:rsidRPr="002266C4" w:rsidRDefault="002266C4" w:rsidP="007D6F34">
      <w:pPr>
        <w:autoSpaceDE w:val="0"/>
        <w:autoSpaceDN w:val="0"/>
        <w:adjustRightInd w:val="0"/>
        <w:spacing w:after="0" w:line="360" w:lineRule="auto"/>
        <w:rPr>
          <w:rFonts w:ascii="Arial" w:hAnsi="Arial" w:cs="Arial"/>
          <w:b/>
          <w:bCs/>
          <w:color w:val="FF0000"/>
          <w:sz w:val="20"/>
          <w:szCs w:val="20"/>
          <w:lang w:val="en-IE"/>
        </w:rPr>
      </w:pPr>
      <w:proofErr w:type="gramStart"/>
      <w:r w:rsidRPr="002266C4">
        <w:rPr>
          <w:rFonts w:ascii="Arial" w:hAnsi="Arial" w:cs="Arial"/>
          <w:b/>
          <w:bCs/>
          <w:color w:val="FF0000"/>
          <w:sz w:val="20"/>
          <w:szCs w:val="20"/>
          <w:lang w:val="en-IE"/>
        </w:rPr>
        <w:t>compliance</w:t>
      </w:r>
      <w:proofErr w:type="gramEnd"/>
      <w:r w:rsidRPr="002266C4">
        <w:rPr>
          <w:rFonts w:ascii="Arial" w:hAnsi="Arial" w:cs="Arial"/>
          <w:b/>
          <w:bCs/>
          <w:color w:val="FF0000"/>
          <w:sz w:val="20"/>
          <w:szCs w:val="20"/>
          <w:lang w:val="en-IE"/>
        </w:rPr>
        <w:t xml:space="preserve"> with the Planning and Development Act 2000 as amended and </w:t>
      </w:r>
      <w:r w:rsidR="00610C12">
        <w:rPr>
          <w:rFonts w:ascii="Arial" w:hAnsi="Arial" w:cs="Arial"/>
          <w:b/>
          <w:bCs/>
          <w:color w:val="FF0000"/>
          <w:sz w:val="20"/>
          <w:szCs w:val="20"/>
          <w:lang w:val="en-IE"/>
        </w:rPr>
        <w:t>t</w:t>
      </w:r>
      <w:r w:rsidRPr="002266C4">
        <w:rPr>
          <w:rFonts w:ascii="Arial" w:hAnsi="Arial" w:cs="Arial"/>
          <w:b/>
          <w:bCs/>
          <w:color w:val="FF0000"/>
          <w:sz w:val="20"/>
          <w:szCs w:val="20"/>
          <w:lang w:val="en-IE"/>
        </w:rPr>
        <w:t xml:space="preserve">he Urban Regeneration and Housing Act 2015. </w:t>
      </w:r>
    </w:p>
    <w:p w:rsidR="00205148" w:rsidRPr="00156713" w:rsidRDefault="00205148" w:rsidP="007D6F34">
      <w:pPr>
        <w:autoSpaceDE w:val="0"/>
        <w:autoSpaceDN w:val="0"/>
        <w:adjustRightInd w:val="0"/>
        <w:spacing w:after="0" w:line="360" w:lineRule="auto"/>
        <w:rPr>
          <w:rFonts w:ascii="Arial" w:hAnsi="Arial" w:cs="Arial"/>
          <w:b/>
          <w:bCs/>
          <w:color w:val="000000"/>
          <w:sz w:val="20"/>
          <w:szCs w:val="20"/>
          <w:lang w:val="en-IE"/>
        </w:rPr>
      </w:pPr>
    </w:p>
    <w:p w:rsidR="00205148" w:rsidRPr="00156713" w:rsidRDefault="00205148" w:rsidP="007D6F34">
      <w:pPr>
        <w:autoSpaceDE w:val="0"/>
        <w:autoSpaceDN w:val="0"/>
        <w:adjustRightInd w:val="0"/>
        <w:spacing w:after="0" w:line="360" w:lineRule="auto"/>
        <w:rPr>
          <w:rFonts w:ascii="Arial" w:hAnsi="Arial" w:cs="Arial"/>
          <w:b/>
          <w:bCs/>
          <w:color w:val="000000"/>
          <w:sz w:val="20"/>
          <w:szCs w:val="20"/>
          <w:lang w:val="en-IE"/>
        </w:rPr>
      </w:pPr>
    </w:p>
    <w:p w:rsidR="001B633F" w:rsidRPr="00156713" w:rsidRDefault="001B633F" w:rsidP="007D6F34">
      <w:pPr>
        <w:spacing w:line="360" w:lineRule="auto"/>
        <w:rPr>
          <w:rFonts w:ascii="Arial" w:hAnsi="Arial" w:cs="Arial"/>
          <w:sz w:val="20"/>
          <w:szCs w:val="20"/>
        </w:rPr>
      </w:pPr>
    </w:p>
    <w:sectPr w:rsidR="001B633F" w:rsidRPr="00156713" w:rsidSect="00461F67">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03" w:rsidRDefault="00550D03" w:rsidP="00920BD8">
      <w:pPr>
        <w:spacing w:after="0" w:line="240" w:lineRule="auto"/>
      </w:pPr>
      <w:r>
        <w:separator/>
      </w:r>
    </w:p>
  </w:endnote>
  <w:endnote w:type="continuationSeparator" w:id="0">
    <w:p w:rsidR="00550D03" w:rsidRDefault="00550D03" w:rsidP="00920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53"/>
      <w:docPartObj>
        <w:docPartGallery w:val="Page Numbers (Bottom of Page)"/>
        <w:docPartUnique/>
      </w:docPartObj>
    </w:sdtPr>
    <w:sdtContent>
      <w:p w:rsidR="00550D03" w:rsidRDefault="00550D03">
        <w:pPr>
          <w:pStyle w:val="Footer"/>
          <w:jc w:val="center"/>
        </w:pPr>
        <w:fldSimple w:instr=" PAGE   \* MERGEFORMAT ">
          <w:r w:rsidR="00C00CB9">
            <w:rPr>
              <w:noProof/>
            </w:rPr>
            <w:t>1</w:t>
          </w:r>
        </w:fldSimple>
      </w:p>
    </w:sdtContent>
  </w:sdt>
  <w:p w:rsidR="00550D03" w:rsidRDefault="00550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03" w:rsidRDefault="00550D03" w:rsidP="00920BD8">
      <w:pPr>
        <w:spacing w:after="0" w:line="240" w:lineRule="auto"/>
      </w:pPr>
      <w:r>
        <w:separator/>
      </w:r>
    </w:p>
  </w:footnote>
  <w:footnote w:type="continuationSeparator" w:id="0">
    <w:p w:rsidR="00550D03" w:rsidRDefault="00550D03" w:rsidP="00920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C65"/>
    <w:multiLevelType w:val="hybridMultilevel"/>
    <w:tmpl w:val="6CB27CF0"/>
    <w:lvl w:ilvl="0" w:tplc="8E76D50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993D51"/>
    <w:multiLevelType w:val="hybridMultilevel"/>
    <w:tmpl w:val="D85261B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8701CF"/>
    <w:multiLevelType w:val="hybridMultilevel"/>
    <w:tmpl w:val="F104AB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E82A13"/>
    <w:multiLevelType w:val="hybridMultilevel"/>
    <w:tmpl w:val="B3C8855E"/>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nsid w:val="30A2662D"/>
    <w:multiLevelType w:val="hybridMultilevel"/>
    <w:tmpl w:val="C04CD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1F94AF3"/>
    <w:multiLevelType w:val="hybridMultilevel"/>
    <w:tmpl w:val="EC10B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89A317B"/>
    <w:multiLevelType w:val="hybridMultilevel"/>
    <w:tmpl w:val="3ED01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E24211A"/>
    <w:multiLevelType w:val="hybridMultilevel"/>
    <w:tmpl w:val="10AAC1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0467EA4"/>
    <w:multiLevelType w:val="hybridMultilevel"/>
    <w:tmpl w:val="3AA8A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4E0702D"/>
    <w:multiLevelType w:val="hybridMultilevel"/>
    <w:tmpl w:val="969C7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FB040EA"/>
    <w:multiLevelType w:val="multilevel"/>
    <w:tmpl w:val="100E28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486529"/>
    <w:multiLevelType w:val="hybridMultilevel"/>
    <w:tmpl w:val="68B417F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B631580"/>
    <w:multiLevelType w:val="hybridMultilevel"/>
    <w:tmpl w:val="DFCC40F8"/>
    <w:lvl w:ilvl="0" w:tplc="C1707438">
      <w:start w:val="1"/>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6B2695C"/>
    <w:multiLevelType w:val="hybridMultilevel"/>
    <w:tmpl w:val="C48E0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A212148"/>
    <w:multiLevelType w:val="hybridMultilevel"/>
    <w:tmpl w:val="0E5C47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4"/>
  </w:num>
  <w:num w:numId="5">
    <w:abstractNumId w:val="7"/>
  </w:num>
  <w:num w:numId="6">
    <w:abstractNumId w:val="1"/>
  </w:num>
  <w:num w:numId="7">
    <w:abstractNumId w:val="9"/>
  </w:num>
  <w:num w:numId="8">
    <w:abstractNumId w:val="3"/>
  </w:num>
  <w:num w:numId="9">
    <w:abstractNumId w:val="8"/>
  </w:num>
  <w:num w:numId="10">
    <w:abstractNumId w:val="4"/>
  </w:num>
  <w:num w:numId="11">
    <w:abstractNumId w:val="6"/>
  </w:num>
  <w:num w:numId="12">
    <w:abstractNumId w:val="13"/>
  </w:num>
  <w:num w:numId="13">
    <w:abstractNumId w:val="12"/>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05BD"/>
    <w:rsid w:val="000125B2"/>
    <w:rsid w:val="000A0242"/>
    <w:rsid w:val="000A6A86"/>
    <w:rsid w:val="000B05C7"/>
    <w:rsid w:val="000E5BCD"/>
    <w:rsid w:val="001032E4"/>
    <w:rsid w:val="00136494"/>
    <w:rsid w:val="00156713"/>
    <w:rsid w:val="00186DF2"/>
    <w:rsid w:val="001B544B"/>
    <w:rsid w:val="001B633F"/>
    <w:rsid w:val="001F27E5"/>
    <w:rsid w:val="00205148"/>
    <w:rsid w:val="002266C4"/>
    <w:rsid w:val="00284F73"/>
    <w:rsid w:val="002B031F"/>
    <w:rsid w:val="0030009D"/>
    <w:rsid w:val="00406B66"/>
    <w:rsid w:val="00461F67"/>
    <w:rsid w:val="004A3346"/>
    <w:rsid w:val="004B6FB4"/>
    <w:rsid w:val="005259A2"/>
    <w:rsid w:val="00526535"/>
    <w:rsid w:val="00530460"/>
    <w:rsid w:val="00550D03"/>
    <w:rsid w:val="005A117C"/>
    <w:rsid w:val="005E6195"/>
    <w:rsid w:val="006103FD"/>
    <w:rsid w:val="00610C12"/>
    <w:rsid w:val="00631EB2"/>
    <w:rsid w:val="00633804"/>
    <w:rsid w:val="0064493A"/>
    <w:rsid w:val="00652D8E"/>
    <w:rsid w:val="00665CEF"/>
    <w:rsid w:val="006704CA"/>
    <w:rsid w:val="00696417"/>
    <w:rsid w:val="006C54F6"/>
    <w:rsid w:val="006F05BD"/>
    <w:rsid w:val="00752D3A"/>
    <w:rsid w:val="007C115D"/>
    <w:rsid w:val="007D6F34"/>
    <w:rsid w:val="007F143E"/>
    <w:rsid w:val="008801A2"/>
    <w:rsid w:val="008A2D01"/>
    <w:rsid w:val="008C2D9E"/>
    <w:rsid w:val="008C319C"/>
    <w:rsid w:val="008C762D"/>
    <w:rsid w:val="008E5BBE"/>
    <w:rsid w:val="00920BD8"/>
    <w:rsid w:val="00927889"/>
    <w:rsid w:val="009604E7"/>
    <w:rsid w:val="0096699D"/>
    <w:rsid w:val="00977A00"/>
    <w:rsid w:val="0099228D"/>
    <w:rsid w:val="00994E32"/>
    <w:rsid w:val="009B49F4"/>
    <w:rsid w:val="00A635F5"/>
    <w:rsid w:val="00A95BCE"/>
    <w:rsid w:val="00AA468F"/>
    <w:rsid w:val="00AB0201"/>
    <w:rsid w:val="00AB5D19"/>
    <w:rsid w:val="00AF79E5"/>
    <w:rsid w:val="00B375B1"/>
    <w:rsid w:val="00B53885"/>
    <w:rsid w:val="00B836F4"/>
    <w:rsid w:val="00C00CB9"/>
    <w:rsid w:val="00C16D4E"/>
    <w:rsid w:val="00C37864"/>
    <w:rsid w:val="00C703C5"/>
    <w:rsid w:val="00C86B9A"/>
    <w:rsid w:val="00CA33BC"/>
    <w:rsid w:val="00CD4D1F"/>
    <w:rsid w:val="00CE764C"/>
    <w:rsid w:val="00D101FD"/>
    <w:rsid w:val="00D44062"/>
    <w:rsid w:val="00D54666"/>
    <w:rsid w:val="00DB3F39"/>
    <w:rsid w:val="00DC3274"/>
    <w:rsid w:val="00DC7662"/>
    <w:rsid w:val="00ED4A50"/>
    <w:rsid w:val="00EE6EF7"/>
    <w:rsid w:val="00F83F87"/>
    <w:rsid w:val="00F86CFC"/>
    <w:rsid w:val="00FA2EBD"/>
    <w:rsid w:val="00FF508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48"/>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148"/>
    <w:pPr>
      <w:ind w:left="720"/>
      <w:contextualSpacing/>
    </w:pPr>
  </w:style>
  <w:style w:type="table" w:styleId="TableGrid">
    <w:name w:val="Table Grid"/>
    <w:basedOn w:val="TableNormal"/>
    <w:uiPriority w:val="59"/>
    <w:rsid w:val="00205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two">
    <w:name w:val="Heading two"/>
    <w:basedOn w:val="DefaultParagraphFont"/>
    <w:rsid w:val="00205148"/>
    <w:rPr>
      <w:rFonts w:ascii="Arial" w:hAnsi="Arial"/>
      <w:b/>
      <w:sz w:val="24"/>
    </w:rPr>
  </w:style>
  <w:style w:type="paragraph" w:styleId="NoSpacing">
    <w:name w:val="No Spacing"/>
    <w:link w:val="NoSpacingChar"/>
    <w:uiPriority w:val="1"/>
    <w:qFormat/>
    <w:rsid w:val="00CD4D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4D1F"/>
    <w:rPr>
      <w:rFonts w:eastAsiaTheme="minorEastAsia"/>
      <w:lang w:val="en-US"/>
    </w:rPr>
  </w:style>
  <w:style w:type="paragraph" w:styleId="BalloonText">
    <w:name w:val="Balloon Text"/>
    <w:basedOn w:val="Normal"/>
    <w:link w:val="BalloonTextChar"/>
    <w:uiPriority w:val="99"/>
    <w:semiHidden/>
    <w:unhideWhenUsed/>
    <w:rsid w:val="00CD4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1F"/>
    <w:rPr>
      <w:rFonts w:ascii="Tahoma" w:hAnsi="Tahoma" w:cs="Tahoma"/>
      <w:sz w:val="16"/>
      <w:szCs w:val="16"/>
      <w:lang w:val="ga-IE"/>
    </w:rPr>
  </w:style>
  <w:style w:type="table" w:styleId="LightList-Accent2">
    <w:name w:val="Light List Accent 2"/>
    <w:basedOn w:val="TableNormal"/>
    <w:uiPriority w:val="61"/>
    <w:rsid w:val="007D6F3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920B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0BD8"/>
    <w:rPr>
      <w:lang w:val="ga-IE"/>
    </w:rPr>
  </w:style>
  <w:style w:type="paragraph" w:styleId="Footer">
    <w:name w:val="footer"/>
    <w:basedOn w:val="Normal"/>
    <w:link w:val="FooterChar"/>
    <w:uiPriority w:val="99"/>
    <w:unhideWhenUsed/>
    <w:rsid w:val="00920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BD8"/>
    <w:rPr>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3F0EF.F4B6FF8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AB1598829E4F37B99DFA9B67EB7E44"/>
        <w:category>
          <w:name w:val="General"/>
          <w:gallery w:val="placeholder"/>
        </w:category>
        <w:types>
          <w:type w:val="bbPlcHdr"/>
        </w:types>
        <w:behaviors>
          <w:behavior w:val="content"/>
        </w:behaviors>
        <w:guid w:val="{20030E6C-E8C5-4B9A-9F0E-4868F263E584}"/>
      </w:docPartPr>
      <w:docPartBody>
        <w:p w:rsidR="00D91ABA" w:rsidRDefault="004A0D17" w:rsidP="004A0D17">
          <w:pPr>
            <w:pStyle w:val="AAAB1598829E4F37B99DFA9B67EB7E44"/>
          </w:pPr>
          <w:r>
            <w:rPr>
              <w:rFonts w:asciiTheme="majorHAnsi" w:eastAsiaTheme="majorEastAsia" w:hAnsiTheme="majorHAnsi" w:cstheme="majorBidi"/>
              <w:sz w:val="72"/>
              <w:szCs w:val="72"/>
            </w:rPr>
            <w:t>[Type the document title]</w:t>
          </w:r>
        </w:p>
      </w:docPartBody>
    </w:docPart>
    <w:docPart>
      <w:docPartPr>
        <w:name w:val="17A594D3227B4BD98A7537B78A23DC78"/>
        <w:category>
          <w:name w:val="General"/>
          <w:gallery w:val="placeholder"/>
        </w:category>
        <w:types>
          <w:type w:val="bbPlcHdr"/>
        </w:types>
        <w:behaviors>
          <w:behavior w:val="content"/>
        </w:behaviors>
        <w:guid w:val="{636CD9D8-F29A-4950-9F8D-C049DD7E643D}"/>
      </w:docPartPr>
      <w:docPartBody>
        <w:p w:rsidR="00D91ABA" w:rsidRDefault="004A0D17" w:rsidP="004A0D17">
          <w:pPr>
            <w:pStyle w:val="17A594D3227B4BD98A7537B78A23DC78"/>
          </w:pPr>
          <w:r>
            <w:rPr>
              <w:rFonts w:asciiTheme="majorHAnsi" w:eastAsiaTheme="majorEastAsia" w:hAnsiTheme="majorHAnsi" w:cstheme="majorBidi"/>
              <w:sz w:val="36"/>
              <w:szCs w:val="36"/>
            </w:rPr>
            <w:t>[Type the document subtitle]</w:t>
          </w:r>
        </w:p>
      </w:docPartBody>
    </w:docPart>
    <w:docPart>
      <w:docPartPr>
        <w:name w:val="EBFE872A41EC4EA1B7060910CBC3E8AB"/>
        <w:category>
          <w:name w:val="General"/>
          <w:gallery w:val="placeholder"/>
        </w:category>
        <w:types>
          <w:type w:val="bbPlcHdr"/>
        </w:types>
        <w:behaviors>
          <w:behavior w:val="content"/>
        </w:behaviors>
        <w:guid w:val="{3387B213-3B01-4459-A885-472FCBC3FDDB}"/>
      </w:docPartPr>
      <w:docPartBody>
        <w:p w:rsidR="00D91ABA" w:rsidRDefault="004A0D17" w:rsidP="004A0D17">
          <w:pPr>
            <w:pStyle w:val="EBFE872A41EC4EA1B7060910CBC3E8AB"/>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0D17"/>
    <w:rsid w:val="00106527"/>
    <w:rsid w:val="00131162"/>
    <w:rsid w:val="00267B7A"/>
    <w:rsid w:val="003B423C"/>
    <w:rsid w:val="004A0D17"/>
    <w:rsid w:val="00567FBB"/>
    <w:rsid w:val="006C3119"/>
    <w:rsid w:val="00762D3A"/>
    <w:rsid w:val="00B113D0"/>
    <w:rsid w:val="00C34535"/>
    <w:rsid w:val="00C4475A"/>
    <w:rsid w:val="00D45842"/>
    <w:rsid w:val="00D91ABA"/>
    <w:rsid w:val="00E21C7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B1598829E4F37B99DFA9B67EB7E44">
    <w:name w:val="AAAB1598829E4F37B99DFA9B67EB7E44"/>
    <w:rsid w:val="004A0D17"/>
  </w:style>
  <w:style w:type="paragraph" w:customStyle="1" w:styleId="17A594D3227B4BD98A7537B78A23DC78">
    <w:name w:val="17A594D3227B4BD98A7537B78A23DC78"/>
    <w:rsid w:val="004A0D17"/>
  </w:style>
  <w:style w:type="paragraph" w:customStyle="1" w:styleId="EBFE872A41EC4EA1B7060910CBC3E8AB">
    <w:name w:val="EBFE872A41EC4EA1B7060910CBC3E8AB"/>
    <w:rsid w:val="004A0D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DDD260-EE3E-4FAF-8397-A17CD95D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Cavan County Development  Plan 2014-2020</vt:lpstr>
    </vt:vector>
  </TitlesOfParts>
  <Company>Hewlett-Packard Company</Company>
  <LinksUpToDate>false</LinksUpToDate>
  <CharactersWithSpaces>29468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Development  Plan 2014-2020</dc:title>
  <dc:subject>Variation Number 1</dc:subject>
  <dc:creator>mgalligan</dc:creator>
  <cp:lastModifiedBy>mgalligan</cp:lastModifiedBy>
  <cp:revision>4</cp:revision>
  <cp:lastPrinted>2018-07-12T10:50:00Z</cp:lastPrinted>
  <dcterms:created xsi:type="dcterms:W3CDTF">2018-05-30T13:13:00Z</dcterms:created>
  <dcterms:modified xsi:type="dcterms:W3CDTF">2018-07-12T10:50:00Z</dcterms:modified>
</cp:coreProperties>
</file>